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9DD7C" w14:textId="77777777" w:rsidR="000111BB" w:rsidRDefault="00332406" w:rsidP="003370F8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资阳市住房公积金行政执法管理办法</w:t>
      </w:r>
    </w:p>
    <w:p w14:paraId="7C60CDDD" w14:textId="2CF29BCA" w:rsidR="0023089B" w:rsidRDefault="0023089B" w:rsidP="003370F8">
      <w:pPr>
        <w:jc w:val="center"/>
        <w:rPr>
          <w:szCs w:val="21"/>
        </w:rPr>
      </w:pPr>
      <w:bookmarkStart w:id="0" w:name="_GoBack"/>
      <w:bookmarkEnd w:id="0"/>
      <w:r w:rsidRPr="003370F8">
        <w:rPr>
          <w:rFonts w:ascii="方正仿宋_GBK" w:eastAsia="方正仿宋_GBK" w:hAnsi="方正仿宋_GBK" w:hint="eastAsia"/>
          <w:sz w:val="44"/>
          <w:szCs w:val="44"/>
        </w:rPr>
        <w:t>（征求意见稿）</w:t>
      </w:r>
    </w:p>
    <w:p w14:paraId="6D82E980" w14:textId="77777777" w:rsidR="004C68B9" w:rsidRPr="0023089B" w:rsidRDefault="004C68B9" w:rsidP="0023089B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338424A1" w14:textId="77777777" w:rsidR="004C68B9" w:rsidRDefault="004C68B9">
      <w:pPr>
        <w:spacing w:line="570" w:lineRule="exact"/>
        <w:jc w:val="center"/>
        <w:rPr>
          <w:rFonts w:ascii="Times New Roman" w:eastAsia="方正黑体_GBK" w:hAnsi="Times New Roman"/>
          <w:bCs/>
          <w:sz w:val="32"/>
          <w:szCs w:val="32"/>
        </w:rPr>
      </w:pPr>
    </w:p>
    <w:p w14:paraId="06E4DB7E" w14:textId="77777777" w:rsidR="004C68B9" w:rsidRDefault="00332406">
      <w:pPr>
        <w:spacing w:line="570" w:lineRule="exact"/>
        <w:jc w:val="center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黑体_GBK" w:hAnsi="Times New Roman"/>
          <w:bCs/>
          <w:sz w:val="32"/>
          <w:szCs w:val="32"/>
        </w:rPr>
        <w:t>第一章</w:t>
      </w:r>
      <w:r>
        <w:rPr>
          <w:rFonts w:ascii="Times New Roman" w:eastAsia="方正黑体_GBK" w:hAnsi="Times New Roman"/>
          <w:bCs/>
          <w:sz w:val="32"/>
          <w:szCs w:val="32"/>
        </w:rPr>
        <w:t xml:space="preserve">  </w:t>
      </w:r>
      <w:r>
        <w:rPr>
          <w:rFonts w:ascii="Times New Roman" w:eastAsia="方正黑体_GBK" w:hAnsi="Times New Roman"/>
          <w:bCs/>
          <w:sz w:val="32"/>
          <w:szCs w:val="32"/>
        </w:rPr>
        <w:t>总</w:t>
      </w:r>
      <w:r>
        <w:rPr>
          <w:rFonts w:ascii="Times New Roman" w:eastAsia="方正黑体_GBK" w:hAnsi="Times New Roman"/>
          <w:bCs/>
          <w:sz w:val="32"/>
          <w:szCs w:val="32"/>
        </w:rPr>
        <w:t xml:space="preserve">  </w:t>
      </w:r>
      <w:r>
        <w:rPr>
          <w:rFonts w:ascii="Times New Roman" w:eastAsia="方正黑体_GBK" w:hAnsi="Times New Roman"/>
          <w:bCs/>
          <w:sz w:val="32"/>
          <w:szCs w:val="32"/>
        </w:rPr>
        <w:t>则</w:t>
      </w:r>
    </w:p>
    <w:p w14:paraId="53BD0598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第一条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bCs/>
          <w:sz w:val="32"/>
          <w:szCs w:val="32"/>
        </w:rPr>
        <w:t>为加强住房公积金行政执法管理，规范行政执法行为，维护职工的合法权益，依据《中华人民共和国行政处罚法》《中华人民共和国行政复议法》《中华人民共和国行政强制法》和《住房公积金管理条例》等相关法律、法规，结合本市实际，制定本办法。</w:t>
      </w:r>
    </w:p>
    <w:p w14:paraId="172047FC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第二条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bCs/>
          <w:sz w:val="32"/>
          <w:szCs w:val="32"/>
        </w:rPr>
        <w:t>本办法所称资阳市住房公积金行政执法，是指住房公积金管理中心（以下简称</w:t>
      </w:r>
      <w:r>
        <w:rPr>
          <w:rFonts w:ascii="Times New Roman" w:eastAsia="方正仿宋_GBK" w:hAnsi="Times New Roman"/>
          <w:bCs/>
          <w:sz w:val="32"/>
          <w:szCs w:val="32"/>
        </w:rPr>
        <w:t>“</w:t>
      </w:r>
      <w:r>
        <w:rPr>
          <w:rFonts w:ascii="Times New Roman" w:eastAsia="方正仿宋_GBK" w:hAnsi="Times New Roman"/>
          <w:bCs/>
          <w:sz w:val="32"/>
          <w:szCs w:val="32"/>
        </w:rPr>
        <w:t>公积金中心</w:t>
      </w:r>
      <w:r>
        <w:rPr>
          <w:rFonts w:ascii="Times New Roman" w:eastAsia="方正仿宋_GBK" w:hAnsi="Times New Roman"/>
          <w:bCs/>
          <w:sz w:val="32"/>
          <w:szCs w:val="32"/>
        </w:rPr>
        <w:t>”</w:t>
      </w:r>
      <w:r>
        <w:rPr>
          <w:rFonts w:ascii="Times New Roman" w:eastAsia="方正仿宋_GBK" w:hAnsi="Times New Roman"/>
          <w:bCs/>
          <w:sz w:val="32"/>
          <w:szCs w:val="32"/>
        </w:rPr>
        <w:t>）按照法定程序对违反住房公积金管理法规的行为进行调查，</w:t>
      </w:r>
      <w:proofErr w:type="gramStart"/>
      <w:r>
        <w:rPr>
          <w:rFonts w:ascii="Times New Roman" w:eastAsia="方正仿宋_GBK" w:hAnsi="Times New Roman"/>
          <w:bCs/>
          <w:sz w:val="32"/>
          <w:szCs w:val="32"/>
        </w:rPr>
        <w:t>作出</w:t>
      </w:r>
      <w:proofErr w:type="gramEnd"/>
      <w:r>
        <w:rPr>
          <w:rFonts w:ascii="Times New Roman" w:eastAsia="方正仿宋_GBK" w:hAnsi="Times New Roman"/>
          <w:bCs/>
          <w:sz w:val="32"/>
          <w:szCs w:val="32"/>
        </w:rPr>
        <w:t>行政处理决定，实施行政处罚和申请人民法院强制执行的行为。</w:t>
      </w:r>
    </w:p>
    <w:p w14:paraId="02AE169D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第三条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bCs/>
          <w:sz w:val="32"/>
          <w:szCs w:val="32"/>
        </w:rPr>
        <w:t>本办法适用于本市行政区域内的住房公积金行政执法活动。</w:t>
      </w:r>
    </w:p>
    <w:p w14:paraId="70C6C1E0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第四条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bCs/>
          <w:sz w:val="32"/>
          <w:szCs w:val="32"/>
        </w:rPr>
        <w:t>住房公积金行政执法工作应坚持以事实为依据、以法律为准绳，公平公正，程序规范，教育整改为主、处罚为辅的原则。</w:t>
      </w:r>
    </w:p>
    <w:p w14:paraId="47400F51" w14:textId="77777777" w:rsidR="004C68B9" w:rsidRDefault="004C68B9">
      <w:pPr>
        <w:spacing w:line="570" w:lineRule="exact"/>
        <w:jc w:val="left"/>
        <w:rPr>
          <w:rFonts w:ascii="Times New Roman" w:eastAsia="方正仿宋_GBK" w:hAnsi="Times New Roman"/>
          <w:bCs/>
          <w:sz w:val="32"/>
          <w:szCs w:val="32"/>
        </w:rPr>
      </w:pPr>
    </w:p>
    <w:p w14:paraId="02E99813" w14:textId="77777777" w:rsidR="004C68B9" w:rsidRDefault="00332406">
      <w:pPr>
        <w:spacing w:line="570" w:lineRule="exact"/>
        <w:jc w:val="center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黑体_GBK" w:hAnsi="Times New Roman"/>
          <w:bCs/>
          <w:sz w:val="32"/>
          <w:szCs w:val="32"/>
        </w:rPr>
        <w:t>第二章</w:t>
      </w:r>
      <w:r>
        <w:rPr>
          <w:rFonts w:ascii="Times New Roman" w:eastAsia="方正黑体_GBK" w:hAnsi="Times New Roman"/>
          <w:bCs/>
          <w:sz w:val="32"/>
          <w:szCs w:val="32"/>
        </w:rPr>
        <w:t xml:space="preserve">  </w:t>
      </w:r>
      <w:r>
        <w:rPr>
          <w:rFonts w:ascii="Times New Roman" w:eastAsia="方正黑体_GBK" w:hAnsi="Times New Roman"/>
          <w:bCs/>
          <w:sz w:val="32"/>
          <w:szCs w:val="32"/>
        </w:rPr>
        <w:t>行政执法机构和人员</w:t>
      </w:r>
    </w:p>
    <w:p w14:paraId="12B245C4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第五条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bCs/>
          <w:sz w:val="32"/>
          <w:szCs w:val="32"/>
        </w:rPr>
        <w:t>公积金中心负责管辖区域内住房公积金行政执法工作，履行以下职责：</w:t>
      </w:r>
    </w:p>
    <w:p w14:paraId="5E56FB28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lastRenderedPageBreak/>
        <w:t>（一）根据国家、省、市有关规定制定住房公积金行政执法内部规程；</w:t>
      </w:r>
    </w:p>
    <w:p w14:paraId="317C3368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（二）监督检查单位和职工住房公积金账户设立、缴存的情况；</w:t>
      </w:r>
    </w:p>
    <w:p w14:paraId="3A64887D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（三）实施行政执法，依法履行行政处罚职能；</w:t>
      </w:r>
    </w:p>
    <w:p w14:paraId="012A43AB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（四）组织行政处罚听证和申请人民法院强制执行；</w:t>
      </w:r>
    </w:p>
    <w:p w14:paraId="7A28FE22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（五）参与行政复议、行政诉讼；</w:t>
      </w:r>
    </w:p>
    <w:p w14:paraId="74BE0F8C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（六）负责行政执法人员的培训教育、违规处理；</w:t>
      </w:r>
    </w:p>
    <w:p w14:paraId="08740356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（七）法律、法规及规章赋予的其他职责。</w:t>
      </w:r>
    </w:p>
    <w:p w14:paraId="2E8F1F29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第六条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bCs/>
          <w:sz w:val="32"/>
          <w:szCs w:val="32"/>
        </w:rPr>
        <w:t>公积金中心应设立行政执法领导小组，对案情重大、有重要影响的案件，以及需</w:t>
      </w:r>
      <w:proofErr w:type="gramStart"/>
      <w:r>
        <w:rPr>
          <w:rFonts w:ascii="Times New Roman" w:eastAsia="方正仿宋_GBK" w:hAnsi="Times New Roman"/>
          <w:bCs/>
          <w:sz w:val="32"/>
          <w:szCs w:val="32"/>
        </w:rPr>
        <w:t>作出</w:t>
      </w:r>
      <w:proofErr w:type="gramEnd"/>
      <w:r>
        <w:rPr>
          <w:rFonts w:ascii="Times New Roman" w:eastAsia="方正仿宋_GBK" w:hAnsi="Times New Roman"/>
          <w:bCs/>
          <w:sz w:val="32"/>
          <w:szCs w:val="32"/>
        </w:rPr>
        <w:t>行政处罚的案件进行审议，并</w:t>
      </w:r>
      <w:proofErr w:type="gramStart"/>
      <w:r>
        <w:rPr>
          <w:rFonts w:ascii="Times New Roman" w:eastAsia="方正仿宋_GBK" w:hAnsi="Times New Roman"/>
          <w:bCs/>
          <w:sz w:val="32"/>
          <w:szCs w:val="32"/>
        </w:rPr>
        <w:t>作出</w:t>
      </w:r>
      <w:proofErr w:type="gramEnd"/>
      <w:r>
        <w:rPr>
          <w:rFonts w:ascii="Times New Roman" w:eastAsia="方正仿宋_GBK" w:hAnsi="Times New Roman"/>
          <w:bCs/>
          <w:sz w:val="32"/>
          <w:szCs w:val="32"/>
        </w:rPr>
        <w:t>行政处理决定。</w:t>
      </w:r>
    </w:p>
    <w:p w14:paraId="3460B536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第七条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bCs/>
          <w:sz w:val="32"/>
          <w:szCs w:val="32"/>
        </w:rPr>
        <w:t>行政执法人员必须符合以下要求：</w:t>
      </w:r>
    </w:p>
    <w:p w14:paraId="583066FE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（一）具备良好的政治、业务素质和职业道德，具有胜任住房公积金行政执法工作的业务知识和相关法律知识；</w:t>
      </w:r>
    </w:p>
    <w:p w14:paraId="7189DF41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（二）经培训考核合格取得四川省人民政府颁发的行政执法证件；</w:t>
      </w:r>
    </w:p>
    <w:p w14:paraId="39321B10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（三）严格按照法律、法规、规章规定的职权范围实施行政执法行为，不得滥用职权，不得徇私舞弊，不得超越职权，不得不履行或者拖延履行法定职责。</w:t>
      </w:r>
    </w:p>
    <w:p w14:paraId="0C9E16E0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第八条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bCs/>
          <w:sz w:val="32"/>
          <w:szCs w:val="32"/>
        </w:rPr>
        <w:t>行政执法人员在进行调查、询问时，不得少于两人，并应当主动出示行政执法证件，文明执法，尊重和保护他人隐私和其他合法权益。</w:t>
      </w:r>
    </w:p>
    <w:p w14:paraId="6B18F682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行政执法人员与案件有直接利害关系或者有其他关系，可</w:t>
      </w:r>
      <w:r>
        <w:rPr>
          <w:rFonts w:ascii="Times New Roman" w:eastAsia="方正仿宋_GBK" w:hAnsi="Times New Roman"/>
          <w:bCs/>
          <w:sz w:val="32"/>
          <w:szCs w:val="32"/>
        </w:rPr>
        <w:lastRenderedPageBreak/>
        <w:t>能影响公正执法的，应当主动回避，当事人也可以申请行政执法人员回避。</w:t>
      </w:r>
    </w:p>
    <w:p w14:paraId="5E29D932" w14:textId="77777777" w:rsidR="004C68B9" w:rsidRDefault="004C68B9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</w:p>
    <w:p w14:paraId="0F54BE96" w14:textId="77777777" w:rsidR="004C68B9" w:rsidRDefault="00332406">
      <w:pPr>
        <w:spacing w:line="570" w:lineRule="exact"/>
        <w:jc w:val="center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黑体_GBK" w:hAnsi="Times New Roman"/>
          <w:bCs/>
          <w:sz w:val="32"/>
          <w:szCs w:val="32"/>
        </w:rPr>
        <w:t>第三章</w:t>
      </w:r>
      <w:r>
        <w:rPr>
          <w:rFonts w:ascii="Times New Roman" w:eastAsia="方正黑体_GBK" w:hAnsi="Times New Roman"/>
          <w:bCs/>
          <w:sz w:val="32"/>
          <w:szCs w:val="32"/>
        </w:rPr>
        <w:t xml:space="preserve">  </w:t>
      </w:r>
      <w:r>
        <w:rPr>
          <w:rFonts w:ascii="Times New Roman" w:eastAsia="方正黑体_GBK" w:hAnsi="Times New Roman"/>
          <w:bCs/>
          <w:sz w:val="32"/>
          <w:szCs w:val="32"/>
        </w:rPr>
        <w:t>证</w:t>
      </w:r>
      <w:r>
        <w:rPr>
          <w:rFonts w:ascii="Times New Roman" w:eastAsia="方正黑体_GBK" w:hAnsi="Times New Roman"/>
          <w:bCs/>
          <w:sz w:val="32"/>
          <w:szCs w:val="32"/>
        </w:rPr>
        <w:t xml:space="preserve">  </w:t>
      </w:r>
      <w:r>
        <w:rPr>
          <w:rFonts w:ascii="Times New Roman" w:eastAsia="方正黑体_GBK" w:hAnsi="Times New Roman"/>
          <w:bCs/>
          <w:sz w:val="32"/>
          <w:szCs w:val="32"/>
        </w:rPr>
        <w:t>据</w:t>
      </w:r>
    </w:p>
    <w:p w14:paraId="3C122128" w14:textId="77777777" w:rsidR="004C68B9" w:rsidRDefault="00332406">
      <w:pPr>
        <w:numPr>
          <w:ilvl w:val="0"/>
          <w:numId w:val="2"/>
        </w:num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bCs/>
          <w:sz w:val="32"/>
          <w:szCs w:val="32"/>
        </w:rPr>
        <w:t>公积金中心行政执法中的证据包括：</w:t>
      </w:r>
    </w:p>
    <w:p w14:paraId="7044A43C" w14:textId="77777777" w:rsidR="004C68B9" w:rsidRDefault="00332406">
      <w:pPr>
        <w:numPr>
          <w:ilvl w:val="0"/>
          <w:numId w:val="3"/>
        </w:num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当事人的陈述；</w:t>
      </w:r>
    </w:p>
    <w:p w14:paraId="7DB5C721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（二）书证；</w:t>
      </w:r>
    </w:p>
    <w:p w14:paraId="0CE502AC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（三）物证；</w:t>
      </w:r>
    </w:p>
    <w:p w14:paraId="0931E2F9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（四）视听资料；</w:t>
      </w:r>
    </w:p>
    <w:p w14:paraId="6ABD4325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（五）电子数据；</w:t>
      </w:r>
    </w:p>
    <w:p w14:paraId="54562395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（六）证人证言；</w:t>
      </w:r>
    </w:p>
    <w:p w14:paraId="1AA22E2E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（七）鉴定意见；</w:t>
      </w:r>
    </w:p>
    <w:p w14:paraId="1AA2EF0D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（八）勘验笔录、现场笔录。</w:t>
      </w:r>
    </w:p>
    <w:p w14:paraId="0787B384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以上证据须经查证属实，才能作为认定案件事实的依据。</w:t>
      </w:r>
    </w:p>
    <w:p w14:paraId="36409113" w14:textId="77777777" w:rsidR="004C68B9" w:rsidRDefault="00332406">
      <w:pPr>
        <w:numPr>
          <w:ilvl w:val="0"/>
          <w:numId w:val="2"/>
        </w:num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bCs/>
          <w:sz w:val="32"/>
          <w:szCs w:val="32"/>
        </w:rPr>
        <w:t>当事人对自己提出的主张，应当及时提供证据，并对所提交证据的真实性负责。</w:t>
      </w:r>
    </w:p>
    <w:p w14:paraId="7EEF8660" w14:textId="77777777" w:rsidR="004C68B9" w:rsidRDefault="00332406">
      <w:pPr>
        <w:numPr>
          <w:ilvl w:val="0"/>
          <w:numId w:val="2"/>
        </w:num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bCs/>
          <w:sz w:val="32"/>
          <w:szCs w:val="32"/>
        </w:rPr>
        <w:t>公积金中心根据当事人的主张和案件的情况，确定并告知当事人应当提供的证据材料及其期限，提供证据的期限不少于</w:t>
      </w:r>
      <w:r>
        <w:rPr>
          <w:rFonts w:ascii="Times New Roman" w:eastAsia="方正仿宋_GBK" w:hAnsi="Times New Roman"/>
          <w:bCs/>
          <w:sz w:val="32"/>
          <w:szCs w:val="32"/>
        </w:rPr>
        <w:t>15</w:t>
      </w:r>
      <w:r>
        <w:rPr>
          <w:rFonts w:ascii="Times New Roman" w:eastAsia="方正仿宋_GBK" w:hAnsi="Times New Roman"/>
          <w:bCs/>
          <w:sz w:val="32"/>
          <w:szCs w:val="32"/>
        </w:rPr>
        <w:t>日。当事人在该期限内提供证据确有困难的，可以向公积金中心申请延长期限，公积金中心根据当事人的申请，决定是否延长以及延长的期限。当事人逾期提供证据的，公积金中心应当要求其说明理由；拒不说明理由或者理由不成立的，公积金中心根据不同情形可以对该主张不予支持。</w:t>
      </w:r>
    </w:p>
    <w:p w14:paraId="3C0CFF69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第十二条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bCs/>
          <w:sz w:val="32"/>
          <w:szCs w:val="32"/>
        </w:rPr>
        <w:t>公积金中心收到当事人提交的证据材料，应当</w:t>
      </w:r>
      <w:r>
        <w:rPr>
          <w:rFonts w:ascii="Times New Roman" w:eastAsia="方正仿宋_GBK" w:hAnsi="Times New Roman"/>
          <w:bCs/>
          <w:sz w:val="32"/>
          <w:szCs w:val="32"/>
        </w:rPr>
        <w:lastRenderedPageBreak/>
        <w:t>出具书面回执，写明证据名称、页数、份数、原件或者复印件。</w:t>
      </w:r>
    </w:p>
    <w:p w14:paraId="3BD82E10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第十三条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bCs/>
          <w:sz w:val="32"/>
          <w:szCs w:val="32"/>
        </w:rPr>
        <w:t>对当事人提交的证据，公积金中心应当向对方当事人核实。</w:t>
      </w:r>
    </w:p>
    <w:p w14:paraId="767D32FB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第十四条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bCs/>
          <w:sz w:val="32"/>
          <w:szCs w:val="32"/>
        </w:rPr>
        <w:t>经过公证证明及其他有权机关</w:t>
      </w:r>
      <w:proofErr w:type="gramStart"/>
      <w:r>
        <w:rPr>
          <w:rFonts w:ascii="Times New Roman" w:eastAsia="方正仿宋_GBK" w:hAnsi="Times New Roman"/>
          <w:bCs/>
          <w:sz w:val="32"/>
          <w:szCs w:val="32"/>
        </w:rPr>
        <w:t>作出</w:t>
      </w:r>
      <w:proofErr w:type="gramEnd"/>
      <w:r>
        <w:rPr>
          <w:rFonts w:ascii="Times New Roman" w:eastAsia="方正仿宋_GBK" w:hAnsi="Times New Roman"/>
          <w:bCs/>
          <w:sz w:val="32"/>
          <w:szCs w:val="32"/>
        </w:rPr>
        <w:t>的文书，公积金中心应当作为认定事实的依据，但有相反证据足以推翻的除外。</w:t>
      </w:r>
    </w:p>
    <w:p w14:paraId="7CE49FC1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第十五条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bCs/>
          <w:sz w:val="32"/>
          <w:szCs w:val="32"/>
        </w:rPr>
        <w:t>公积金中心对当事人的陈述，应当结合案件的其他证据，审查确定能否作为认定事实的依据。</w:t>
      </w:r>
    </w:p>
    <w:p w14:paraId="62171648" w14:textId="77777777" w:rsidR="004C68B9" w:rsidRDefault="004C68B9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</w:p>
    <w:p w14:paraId="33306566" w14:textId="77777777" w:rsidR="004C68B9" w:rsidRDefault="00332406">
      <w:pPr>
        <w:spacing w:line="570" w:lineRule="exact"/>
        <w:jc w:val="center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黑体_GBK" w:hAnsi="Times New Roman"/>
          <w:bCs/>
          <w:sz w:val="32"/>
          <w:szCs w:val="32"/>
        </w:rPr>
        <w:t>第四章</w:t>
      </w:r>
      <w:r>
        <w:rPr>
          <w:rFonts w:ascii="Times New Roman" w:eastAsia="方正黑体_GBK" w:hAnsi="Times New Roman"/>
          <w:bCs/>
          <w:sz w:val="32"/>
          <w:szCs w:val="32"/>
        </w:rPr>
        <w:t xml:space="preserve"> </w:t>
      </w:r>
      <w:r>
        <w:rPr>
          <w:rFonts w:ascii="Times New Roman" w:eastAsia="方正黑体_GBK" w:hAnsi="Times New Roman"/>
          <w:bCs/>
          <w:sz w:val="32"/>
          <w:szCs w:val="32"/>
        </w:rPr>
        <w:t>行政执法程序</w:t>
      </w:r>
    </w:p>
    <w:p w14:paraId="350F880A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第十六条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bCs/>
          <w:sz w:val="32"/>
          <w:szCs w:val="32"/>
        </w:rPr>
        <w:t>个人有权向公积金中心投诉、举报本单位违反住房公积金管理规定的各种违法行为，包括未为其办理住房公积金账户设立手续、不缴或少缴住房公积金，以维护自身合法权益。</w:t>
      </w:r>
    </w:p>
    <w:p w14:paraId="2B85CB8E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投诉应提供投诉人有效身份证明、书面投诉材料和单位存在违法行为的证据等材料。如投诉事实不清、材料不齐的，公积金中心应书面告知投诉人</w:t>
      </w:r>
      <w:r>
        <w:rPr>
          <w:rFonts w:ascii="Times New Roman" w:eastAsia="方正仿宋_GBK" w:hAnsi="Times New Roman"/>
          <w:bCs/>
          <w:sz w:val="32"/>
          <w:szCs w:val="32"/>
        </w:rPr>
        <w:t>7</w:t>
      </w:r>
      <w:r>
        <w:rPr>
          <w:rFonts w:ascii="Times New Roman" w:eastAsia="方正仿宋_GBK" w:hAnsi="Times New Roman"/>
          <w:bCs/>
          <w:sz w:val="32"/>
          <w:szCs w:val="32"/>
        </w:rPr>
        <w:t>日内补齐材料。</w:t>
      </w:r>
    </w:p>
    <w:p w14:paraId="5466FB5A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第十七条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bCs/>
          <w:sz w:val="32"/>
          <w:szCs w:val="32"/>
        </w:rPr>
        <w:t>公积金中心通过检查、投诉等途径，发现单位存在违反住房公积金管理法规行为的，应对单位进行政策宣传、说服教育，督促当事人改正，积极引导当事双方通过调解解决纠纷，提高执法效率。</w:t>
      </w:r>
    </w:p>
    <w:p w14:paraId="5767F657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第十八条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bCs/>
          <w:sz w:val="32"/>
          <w:szCs w:val="32"/>
        </w:rPr>
        <w:t>单位有以下违法情况之一，且拒不改正的，公积金中心应予立案：</w:t>
      </w:r>
    </w:p>
    <w:p w14:paraId="4500CF2B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lastRenderedPageBreak/>
        <w:t>（一）不办理住房公积金缴存登记手续；</w:t>
      </w:r>
    </w:p>
    <w:p w14:paraId="74150173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（二）不为本单位职工办理住房公积金账户设立手续；</w:t>
      </w:r>
    </w:p>
    <w:p w14:paraId="2DBD083C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（三）逾期不缴或少缴住房公积金。</w:t>
      </w:r>
    </w:p>
    <w:p w14:paraId="50FABA9A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第十九条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bCs/>
          <w:sz w:val="32"/>
          <w:szCs w:val="32"/>
        </w:rPr>
        <w:t>受理投诉后，公积金中心应当开展前期调查工作，经查证有下列情形之一的，公积金中心不予立案：</w:t>
      </w:r>
    </w:p>
    <w:p w14:paraId="64BFEFA0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（一）被投诉、举报单位已经注销的；</w:t>
      </w:r>
    </w:p>
    <w:p w14:paraId="185B588E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（二）投诉事实不清、材料不齐，且在公积金中心要求补齐材料期限内未补交或拒绝补交的；</w:t>
      </w:r>
    </w:p>
    <w:p w14:paraId="5640F171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（三）违法事实不成立，违法行为已纠正，已经或者应当通过诉讼、仲裁、行政复议等法定途径解决的；</w:t>
      </w:r>
    </w:p>
    <w:p w14:paraId="4BF1C920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（四）公积金中心已对投诉违法行为</w:t>
      </w:r>
      <w:proofErr w:type="gramStart"/>
      <w:r>
        <w:rPr>
          <w:rFonts w:ascii="Times New Roman" w:eastAsia="方正仿宋_GBK" w:hAnsi="Times New Roman"/>
          <w:bCs/>
          <w:sz w:val="32"/>
          <w:szCs w:val="32"/>
        </w:rPr>
        <w:t>作出</w:t>
      </w:r>
      <w:proofErr w:type="gramEnd"/>
      <w:r>
        <w:rPr>
          <w:rFonts w:ascii="Times New Roman" w:eastAsia="方正仿宋_GBK" w:hAnsi="Times New Roman"/>
          <w:bCs/>
          <w:sz w:val="32"/>
          <w:szCs w:val="32"/>
        </w:rPr>
        <w:t>最终处理决定，投诉人在无新证据的情况下仍以同一事实或理由再次投诉的；</w:t>
      </w:r>
    </w:p>
    <w:p w14:paraId="3C8C0202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（五）依法进入破产程序，按破产法相关规定执行的；</w:t>
      </w:r>
    </w:p>
    <w:p w14:paraId="56D97D6C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（六）不属于公积金中心职责范围的；</w:t>
      </w:r>
    </w:p>
    <w:p w14:paraId="234C05A2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（七）法律、法规、规章规定不予立案的其他情形。</w:t>
      </w:r>
    </w:p>
    <w:p w14:paraId="27804475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第二十条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bCs/>
          <w:sz w:val="32"/>
          <w:szCs w:val="32"/>
        </w:rPr>
        <w:t>案件立案后，公积金中心应当向当事人发出调查通知，书面告知当事人配合调查。当事人应按中心通知要求，提供与调查事项相关的材料，包括身份证明、营业执照、组织机构代码证、财务报表、工资明细、单位人员名册、劳动合同等。</w:t>
      </w:r>
    </w:p>
    <w:p w14:paraId="7657D82F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第二十一条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bCs/>
          <w:sz w:val="32"/>
          <w:szCs w:val="32"/>
        </w:rPr>
        <w:t>案件调查结束后，根据不同情况</w:t>
      </w:r>
      <w:proofErr w:type="gramStart"/>
      <w:r>
        <w:rPr>
          <w:rFonts w:ascii="Times New Roman" w:eastAsia="方正仿宋_GBK" w:hAnsi="Times New Roman"/>
          <w:bCs/>
          <w:sz w:val="32"/>
          <w:szCs w:val="32"/>
        </w:rPr>
        <w:t>作出</w:t>
      </w:r>
      <w:proofErr w:type="gramEnd"/>
      <w:r>
        <w:rPr>
          <w:rFonts w:ascii="Times New Roman" w:eastAsia="方正仿宋_GBK" w:hAnsi="Times New Roman"/>
          <w:bCs/>
          <w:sz w:val="32"/>
          <w:szCs w:val="32"/>
        </w:rPr>
        <w:t>如下处理：</w:t>
      </w:r>
    </w:p>
    <w:p w14:paraId="4716403A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（一）违法行为事实清楚，证据确凿，定性准确的，公积金中心</w:t>
      </w:r>
      <w:proofErr w:type="gramStart"/>
      <w:r>
        <w:rPr>
          <w:rFonts w:ascii="Times New Roman" w:eastAsia="方正仿宋_GBK" w:hAnsi="Times New Roman"/>
          <w:bCs/>
          <w:sz w:val="32"/>
          <w:szCs w:val="32"/>
        </w:rPr>
        <w:t>作出</w:t>
      </w:r>
      <w:proofErr w:type="gramEnd"/>
      <w:r>
        <w:rPr>
          <w:rFonts w:ascii="Times New Roman" w:eastAsia="方正仿宋_GBK" w:hAnsi="Times New Roman"/>
          <w:bCs/>
          <w:sz w:val="32"/>
          <w:szCs w:val="32"/>
        </w:rPr>
        <w:t>处理决定；</w:t>
      </w:r>
    </w:p>
    <w:p w14:paraId="197407A5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lastRenderedPageBreak/>
        <w:t>（二）违法行为涉嫌犯罪的，移送司法机关。</w:t>
      </w:r>
    </w:p>
    <w:p w14:paraId="57F94BD3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第二十二条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bCs/>
          <w:sz w:val="32"/>
          <w:szCs w:val="32"/>
        </w:rPr>
        <w:t>单位不办理住房公积金缴存登记或不为本单位职工办理账户设立的，公积金中心应责令当事人在</w:t>
      </w:r>
      <w:r>
        <w:rPr>
          <w:rFonts w:ascii="Times New Roman" w:eastAsia="方正仿宋_GBK" w:hAnsi="Times New Roman"/>
          <w:bCs/>
          <w:sz w:val="32"/>
          <w:szCs w:val="32"/>
        </w:rPr>
        <w:t>15</w:t>
      </w:r>
      <w:r>
        <w:rPr>
          <w:rFonts w:ascii="Times New Roman" w:eastAsia="方正仿宋_GBK" w:hAnsi="Times New Roman"/>
          <w:bCs/>
          <w:sz w:val="32"/>
          <w:szCs w:val="32"/>
        </w:rPr>
        <w:t>日内限期改正。逾期未改正的，公积金中心应在</w:t>
      </w:r>
      <w:proofErr w:type="gramStart"/>
      <w:r>
        <w:rPr>
          <w:rFonts w:ascii="Times New Roman" w:eastAsia="方正仿宋_GBK" w:hAnsi="Times New Roman"/>
          <w:bCs/>
          <w:sz w:val="32"/>
          <w:szCs w:val="32"/>
        </w:rPr>
        <w:t>作出</w:t>
      </w:r>
      <w:proofErr w:type="gramEnd"/>
      <w:r>
        <w:rPr>
          <w:rFonts w:ascii="Times New Roman" w:eastAsia="方正仿宋_GBK" w:hAnsi="Times New Roman"/>
          <w:bCs/>
          <w:sz w:val="32"/>
          <w:szCs w:val="32"/>
        </w:rPr>
        <w:t>行政处罚决定前，事先告知当事人拟对其</w:t>
      </w:r>
      <w:proofErr w:type="gramStart"/>
      <w:r>
        <w:rPr>
          <w:rFonts w:ascii="Times New Roman" w:eastAsia="方正仿宋_GBK" w:hAnsi="Times New Roman"/>
          <w:bCs/>
          <w:sz w:val="32"/>
          <w:szCs w:val="32"/>
        </w:rPr>
        <w:t>作出</w:t>
      </w:r>
      <w:proofErr w:type="gramEnd"/>
      <w:r>
        <w:rPr>
          <w:rFonts w:ascii="Times New Roman" w:eastAsia="方正仿宋_GBK" w:hAnsi="Times New Roman"/>
          <w:bCs/>
          <w:sz w:val="32"/>
          <w:szCs w:val="32"/>
        </w:rPr>
        <w:t>行政处罚决定涉及的事实、理由和依据。</w:t>
      </w:r>
    </w:p>
    <w:p w14:paraId="4AF7CD78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第二十三条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bCs/>
          <w:sz w:val="32"/>
          <w:szCs w:val="32"/>
        </w:rPr>
        <w:t>当事人有权对公积金中心拟作出行政处罚决定涉及的事实、理由和依据提出陈述、申辩。公积金中心拟作出</w:t>
      </w:r>
      <w:r>
        <w:rPr>
          <w:rFonts w:ascii="Times New Roman" w:eastAsia="方正仿宋_GBK" w:hAnsi="Times New Roman"/>
          <w:bCs/>
          <w:sz w:val="32"/>
          <w:szCs w:val="32"/>
        </w:rPr>
        <w:t>2</w:t>
      </w:r>
      <w:r>
        <w:rPr>
          <w:rFonts w:ascii="Times New Roman" w:eastAsia="方正仿宋_GBK" w:hAnsi="Times New Roman"/>
          <w:bCs/>
          <w:sz w:val="32"/>
          <w:szCs w:val="32"/>
        </w:rPr>
        <w:t>万元以上罚款决定的，应当告知当事人有要求听证的权利。当事人要求听证的，按照《四川省行政处罚听证程序规定》执行。</w:t>
      </w:r>
    </w:p>
    <w:p w14:paraId="031C7625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当事人提出陈述、申辩或要求听证的，应当在收到告知通知之日起</w:t>
      </w:r>
      <w:r>
        <w:rPr>
          <w:rFonts w:ascii="Times New Roman" w:eastAsia="方正仿宋_GBK" w:hAnsi="Times New Roman"/>
          <w:bCs/>
          <w:sz w:val="32"/>
          <w:szCs w:val="32"/>
        </w:rPr>
        <w:t>5</w:t>
      </w:r>
      <w:r>
        <w:rPr>
          <w:rFonts w:ascii="Times New Roman" w:eastAsia="方正仿宋_GBK" w:hAnsi="Times New Roman"/>
          <w:bCs/>
          <w:sz w:val="32"/>
          <w:szCs w:val="32"/>
        </w:rPr>
        <w:t>日内提出，未在规定时限提出的，视为放弃权利。</w:t>
      </w:r>
    </w:p>
    <w:p w14:paraId="44C7D218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第二十四条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bCs/>
          <w:sz w:val="32"/>
          <w:szCs w:val="32"/>
        </w:rPr>
        <w:t>当事人进行陈述、申辩或听证结束后，经复核认定当事人确有应受行政处罚的违法行为的，公积金中心</w:t>
      </w:r>
      <w:proofErr w:type="gramStart"/>
      <w:r>
        <w:rPr>
          <w:rFonts w:ascii="Times New Roman" w:eastAsia="方正仿宋_GBK" w:hAnsi="Times New Roman"/>
          <w:bCs/>
          <w:sz w:val="32"/>
          <w:szCs w:val="32"/>
        </w:rPr>
        <w:t>作出</w:t>
      </w:r>
      <w:proofErr w:type="gramEnd"/>
      <w:r>
        <w:rPr>
          <w:rFonts w:ascii="Times New Roman" w:eastAsia="方正仿宋_GBK" w:hAnsi="Times New Roman"/>
          <w:bCs/>
          <w:sz w:val="32"/>
          <w:szCs w:val="32"/>
        </w:rPr>
        <w:t>行政处罚决定。</w:t>
      </w:r>
    </w:p>
    <w:p w14:paraId="0F6C8848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行政处罚决定应当在案件立案后</w:t>
      </w:r>
      <w:r>
        <w:rPr>
          <w:rFonts w:ascii="Times New Roman" w:eastAsia="方正仿宋_GBK" w:hAnsi="Times New Roman"/>
          <w:bCs/>
          <w:sz w:val="32"/>
          <w:szCs w:val="32"/>
        </w:rPr>
        <w:t>90</w:t>
      </w:r>
      <w:r>
        <w:rPr>
          <w:rFonts w:ascii="Times New Roman" w:eastAsia="方正仿宋_GBK" w:hAnsi="Times New Roman"/>
          <w:bCs/>
          <w:sz w:val="32"/>
          <w:szCs w:val="32"/>
        </w:rPr>
        <w:t>日内</w:t>
      </w:r>
      <w:proofErr w:type="gramStart"/>
      <w:r>
        <w:rPr>
          <w:rFonts w:ascii="Times New Roman" w:eastAsia="方正仿宋_GBK" w:hAnsi="Times New Roman"/>
          <w:bCs/>
          <w:sz w:val="32"/>
          <w:szCs w:val="32"/>
        </w:rPr>
        <w:t>作出</w:t>
      </w:r>
      <w:proofErr w:type="gramEnd"/>
      <w:r>
        <w:rPr>
          <w:rFonts w:ascii="Times New Roman" w:eastAsia="方正仿宋_GBK" w:hAnsi="Times New Roman"/>
          <w:bCs/>
          <w:sz w:val="32"/>
          <w:szCs w:val="32"/>
        </w:rPr>
        <w:t>，并向违法单位发出《行政处罚决定书》。</w:t>
      </w:r>
    </w:p>
    <w:p w14:paraId="5E1CD4DA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根据《中华人民共和国行政处罚法》的规定，在</w:t>
      </w:r>
      <w:proofErr w:type="gramStart"/>
      <w:r>
        <w:rPr>
          <w:rFonts w:ascii="Times New Roman" w:eastAsia="方正仿宋_GBK" w:hAnsi="Times New Roman"/>
          <w:bCs/>
          <w:sz w:val="32"/>
          <w:szCs w:val="32"/>
        </w:rPr>
        <w:t>作出</w:t>
      </w:r>
      <w:proofErr w:type="gramEnd"/>
      <w:r>
        <w:rPr>
          <w:rFonts w:ascii="Times New Roman" w:eastAsia="方正仿宋_GBK" w:hAnsi="Times New Roman"/>
          <w:bCs/>
          <w:sz w:val="32"/>
          <w:szCs w:val="32"/>
        </w:rPr>
        <w:t>行政处罚的决定之前，应当由公积金中心从事行政处罚决定的法制审核人员进行法制审核，未经法制审核或者审核未通过的，不得</w:t>
      </w:r>
      <w:proofErr w:type="gramStart"/>
      <w:r>
        <w:rPr>
          <w:rFonts w:ascii="Times New Roman" w:eastAsia="方正仿宋_GBK" w:hAnsi="Times New Roman"/>
          <w:bCs/>
          <w:sz w:val="32"/>
          <w:szCs w:val="32"/>
        </w:rPr>
        <w:t>作出</w:t>
      </w:r>
      <w:proofErr w:type="gramEnd"/>
      <w:r>
        <w:rPr>
          <w:rFonts w:ascii="Times New Roman" w:eastAsia="方正仿宋_GBK" w:hAnsi="Times New Roman"/>
          <w:bCs/>
          <w:sz w:val="32"/>
          <w:szCs w:val="32"/>
        </w:rPr>
        <w:t>决定。</w:t>
      </w:r>
    </w:p>
    <w:p w14:paraId="30A0DF4A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行政处罚决定应当依据相关法律法规及规章的规定依法公开。</w:t>
      </w:r>
    </w:p>
    <w:p w14:paraId="1E1FE0AD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lastRenderedPageBreak/>
        <w:t>第二十五条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bCs/>
          <w:sz w:val="32"/>
          <w:szCs w:val="32"/>
        </w:rPr>
        <w:t>单位不缴或少缴住房公积金的，公积金中心应责令其在</w:t>
      </w:r>
      <w:r>
        <w:rPr>
          <w:rFonts w:ascii="Times New Roman" w:eastAsia="方正仿宋_GBK" w:hAnsi="Times New Roman"/>
          <w:bCs/>
          <w:sz w:val="32"/>
          <w:szCs w:val="32"/>
        </w:rPr>
        <w:t>15</w:t>
      </w:r>
      <w:r>
        <w:rPr>
          <w:rFonts w:ascii="Times New Roman" w:eastAsia="方正仿宋_GBK" w:hAnsi="Times New Roman"/>
          <w:bCs/>
          <w:sz w:val="32"/>
          <w:szCs w:val="32"/>
        </w:rPr>
        <w:t>日内限期改正。逾期未改正的，公积金中心</w:t>
      </w:r>
      <w:proofErr w:type="gramStart"/>
      <w:r>
        <w:rPr>
          <w:rFonts w:ascii="Times New Roman" w:eastAsia="方正仿宋_GBK" w:hAnsi="Times New Roman"/>
          <w:bCs/>
          <w:sz w:val="32"/>
          <w:szCs w:val="32"/>
        </w:rPr>
        <w:t>作出</w:t>
      </w:r>
      <w:proofErr w:type="gramEnd"/>
      <w:r>
        <w:rPr>
          <w:rFonts w:ascii="Times New Roman" w:eastAsia="方正仿宋_GBK" w:hAnsi="Times New Roman"/>
          <w:bCs/>
          <w:sz w:val="32"/>
          <w:szCs w:val="32"/>
        </w:rPr>
        <w:t>限期缴存决定，责令单位限期为职工补缴住房公积金。</w:t>
      </w:r>
    </w:p>
    <w:p w14:paraId="019FC026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第二十六条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bCs/>
          <w:sz w:val="32"/>
          <w:szCs w:val="32"/>
        </w:rPr>
        <w:t>限期缴存决定应当在立案后</w:t>
      </w:r>
      <w:r>
        <w:rPr>
          <w:rFonts w:ascii="Times New Roman" w:eastAsia="方正仿宋_GBK" w:hAnsi="Times New Roman"/>
          <w:bCs/>
          <w:sz w:val="32"/>
          <w:szCs w:val="32"/>
        </w:rPr>
        <w:t>60</w:t>
      </w:r>
      <w:r>
        <w:rPr>
          <w:rFonts w:ascii="Times New Roman" w:eastAsia="方正仿宋_GBK" w:hAnsi="Times New Roman"/>
          <w:bCs/>
          <w:sz w:val="32"/>
          <w:szCs w:val="32"/>
        </w:rPr>
        <w:t>日内</w:t>
      </w:r>
      <w:proofErr w:type="gramStart"/>
      <w:r>
        <w:rPr>
          <w:rFonts w:ascii="Times New Roman" w:eastAsia="方正仿宋_GBK" w:hAnsi="Times New Roman"/>
          <w:bCs/>
          <w:sz w:val="32"/>
          <w:szCs w:val="32"/>
        </w:rPr>
        <w:t>作出</w:t>
      </w:r>
      <w:proofErr w:type="gramEnd"/>
      <w:r>
        <w:rPr>
          <w:rFonts w:ascii="Times New Roman" w:eastAsia="方正仿宋_GBK" w:hAnsi="Times New Roman"/>
          <w:bCs/>
          <w:sz w:val="32"/>
          <w:szCs w:val="32"/>
        </w:rPr>
        <w:t>，并向违法单位发出《责令限期缴存决定书》。案情复杂，不能在</w:t>
      </w:r>
      <w:r>
        <w:rPr>
          <w:rFonts w:ascii="Times New Roman" w:eastAsia="方正仿宋_GBK" w:hAnsi="Times New Roman"/>
          <w:bCs/>
          <w:sz w:val="32"/>
          <w:szCs w:val="32"/>
        </w:rPr>
        <w:t>60</w:t>
      </w:r>
      <w:r>
        <w:rPr>
          <w:rFonts w:ascii="Times New Roman" w:eastAsia="方正仿宋_GBK" w:hAnsi="Times New Roman"/>
          <w:bCs/>
          <w:sz w:val="32"/>
          <w:szCs w:val="32"/>
        </w:rPr>
        <w:t>日内</w:t>
      </w:r>
      <w:proofErr w:type="gramStart"/>
      <w:r>
        <w:rPr>
          <w:rFonts w:ascii="Times New Roman" w:eastAsia="方正仿宋_GBK" w:hAnsi="Times New Roman"/>
          <w:bCs/>
          <w:sz w:val="32"/>
          <w:szCs w:val="32"/>
        </w:rPr>
        <w:t>作出</w:t>
      </w:r>
      <w:proofErr w:type="gramEnd"/>
      <w:r>
        <w:rPr>
          <w:rFonts w:ascii="Times New Roman" w:eastAsia="方正仿宋_GBK" w:hAnsi="Times New Roman"/>
          <w:bCs/>
          <w:sz w:val="32"/>
          <w:szCs w:val="32"/>
        </w:rPr>
        <w:t>行政决定的，可以延长</w:t>
      </w:r>
      <w:r>
        <w:rPr>
          <w:rFonts w:ascii="Times New Roman" w:eastAsia="方正仿宋_GBK" w:hAnsi="Times New Roman"/>
          <w:bCs/>
          <w:sz w:val="32"/>
          <w:szCs w:val="32"/>
        </w:rPr>
        <w:t>30</w:t>
      </w:r>
      <w:r>
        <w:rPr>
          <w:rFonts w:ascii="Times New Roman" w:eastAsia="方正仿宋_GBK" w:hAnsi="Times New Roman"/>
          <w:bCs/>
          <w:sz w:val="32"/>
          <w:szCs w:val="32"/>
        </w:rPr>
        <w:t>日。</w:t>
      </w:r>
    </w:p>
    <w:p w14:paraId="7C6EF28C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第二十七条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bCs/>
          <w:sz w:val="32"/>
          <w:szCs w:val="32"/>
        </w:rPr>
        <w:t>案件处理过程中，听证、公告等时间不计入第二十四条、第二十六条所述的案件办理时间。</w:t>
      </w:r>
    </w:p>
    <w:p w14:paraId="18DD3370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第二十八条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bCs/>
          <w:sz w:val="32"/>
          <w:szCs w:val="32"/>
        </w:rPr>
        <w:t>《行政处罚决定书》或《责令限期缴存决定书》应当在行政执法人员宣告后当场送达当事人，当事人不在场的，行政执法人员应当依据《中华人民共和国民事诉讼法》的有关规定送达当事人指定的代收人。当事人（指定的代收人）应当在送达回证上注明收到日期，并签名盖章。送达回证上的签收日期为送达日期。</w:t>
      </w:r>
    </w:p>
    <w:p w14:paraId="784521A8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当事人拒绝签收的，可采取留置送达、邮寄送达、委托送达或电子送达等方式。当事人下落不明，或者依据本条规定的其他方式无法送达的，公告送达。</w:t>
      </w:r>
    </w:p>
    <w:p w14:paraId="10DE0189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公告送达，可在当事人原住所地张贴公告，也可在公积金中心门户网站、指定报纸等刊登公告。采取公告送达的，应当在案卷中载明公告送达的原因和经过。</w:t>
      </w:r>
    </w:p>
    <w:p w14:paraId="755CCD70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公积金中心应当将行政决定及送达情况书面告知投诉人。</w:t>
      </w:r>
    </w:p>
    <w:p w14:paraId="769798C5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第二十九条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bCs/>
          <w:sz w:val="32"/>
          <w:szCs w:val="32"/>
        </w:rPr>
        <w:t>当事人在行政处罚决定</w:t>
      </w:r>
      <w:proofErr w:type="gramStart"/>
      <w:r>
        <w:rPr>
          <w:rFonts w:ascii="Times New Roman" w:eastAsia="方正仿宋_GBK" w:hAnsi="Times New Roman"/>
          <w:bCs/>
          <w:sz w:val="32"/>
          <w:szCs w:val="32"/>
        </w:rPr>
        <w:t>作出</w:t>
      </w:r>
      <w:proofErr w:type="gramEnd"/>
      <w:r>
        <w:rPr>
          <w:rFonts w:ascii="Times New Roman" w:eastAsia="方正仿宋_GBK" w:hAnsi="Times New Roman"/>
          <w:bCs/>
          <w:sz w:val="32"/>
          <w:szCs w:val="32"/>
        </w:rPr>
        <w:t>之前，主动改正违法行为的，公积金中心应当对其从轻、减轻或免于行政处罚。</w:t>
      </w:r>
    </w:p>
    <w:p w14:paraId="02060CD3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lastRenderedPageBreak/>
        <w:t>第三十条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bCs/>
          <w:sz w:val="32"/>
          <w:szCs w:val="32"/>
        </w:rPr>
        <w:t>当事人对行政处罚决定或限期缴存决定不服的，可以在上述法律文书送达之日起</w:t>
      </w:r>
      <w:r>
        <w:rPr>
          <w:rFonts w:ascii="Times New Roman" w:eastAsia="方正仿宋_GBK" w:hAnsi="Times New Roman"/>
          <w:bCs/>
          <w:sz w:val="32"/>
          <w:szCs w:val="32"/>
        </w:rPr>
        <w:t>60</w:t>
      </w:r>
      <w:r>
        <w:rPr>
          <w:rFonts w:ascii="Times New Roman" w:eastAsia="方正仿宋_GBK" w:hAnsi="Times New Roman"/>
          <w:bCs/>
          <w:sz w:val="32"/>
          <w:szCs w:val="32"/>
        </w:rPr>
        <w:t>日内，依法申请复议，或在上述法律文书送达之日起</w:t>
      </w:r>
      <w:r>
        <w:rPr>
          <w:rFonts w:ascii="Times New Roman" w:eastAsia="方正仿宋_GBK" w:hAnsi="Times New Roman"/>
          <w:bCs/>
          <w:sz w:val="32"/>
          <w:szCs w:val="32"/>
        </w:rPr>
        <w:t>6</w:t>
      </w:r>
      <w:r>
        <w:rPr>
          <w:rFonts w:ascii="Times New Roman" w:eastAsia="方正仿宋_GBK" w:hAnsi="Times New Roman"/>
          <w:bCs/>
          <w:sz w:val="32"/>
          <w:szCs w:val="32"/>
        </w:rPr>
        <w:t>个月内，向人民法院提起诉讼。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</w:t>
      </w:r>
    </w:p>
    <w:p w14:paraId="63ECF4C6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当事人依法申请复议或向人民法院提起诉讼的，公积金中心应当在收到相关通知之日起</w:t>
      </w:r>
      <w:r>
        <w:rPr>
          <w:rFonts w:ascii="Times New Roman" w:eastAsia="方正仿宋_GBK" w:hAnsi="Times New Roman"/>
          <w:bCs/>
          <w:sz w:val="32"/>
          <w:szCs w:val="32"/>
        </w:rPr>
        <w:t>5</w:t>
      </w:r>
      <w:r>
        <w:rPr>
          <w:rFonts w:ascii="Times New Roman" w:eastAsia="方正仿宋_GBK" w:hAnsi="Times New Roman"/>
          <w:bCs/>
          <w:sz w:val="32"/>
          <w:szCs w:val="32"/>
        </w:rPr>
        <w:t>日内告知投诉人，并在案件审结后按照行政复议决定、生效法律文书的判决或裁定，申请执行、撤销或变更行政决定。</w:t>
      </w:r>
    </w:p>
    <w:p w14:paraId="07A94E9C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第三十一条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bCs/>
          <w:sz w:val="32"/>
          <w:szCs w:val="32"/>
        </w:rPr>
        <w:t>当事人逾期未履行行政处罚决定的，公积金中心可采取下列措施：</w:t>
      </w:r>
    </w:p>
    <w:p w14:paraId="1F21658B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（一）到期不缴纳罚款的，每日按罚款数额的</w:t>
      </w:r>
      <w:r>
        <w:rPr>
          <w:rFonts w:ascii="Times New Roman" w:eastAsia="方正仿宋_GBK" w:hAnsi="Times New Roman"/>
          <w:bCs/>
          <w:sz w:val="32"/>
          <w:szCs w:val="32"/>
        </w:rPr>
        <w:t>3%</w:t>
      </w:r>
      <w:r>
        <w:rPr>
          <w:rFonts w:ascii="Times New Roman" w:eastAsia="方正仿宋_GBK" w:hAnsi="Times New Roman"/>
          <w:bCs/>
          <w:sz w:val="32"/>
          <w:szCs w:val="32"/>
        </w:rPr>
        <w:t>加处罚款，加处罚款数额不得超出罚款数；</w:t>
      </w:r>
    </w:p>
    <w:p w14:paraId="791B8FFA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（二）申请人民法院强制执行。</w:t>
      </w:r>
    </w:p>
    <w:p w14:paraId="6F0E0D0F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第三十二条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bCs/>
          <w:sz w:val="32"/>
          <w:szCs w:val="32"/>
        </w:rPr>
        <w:t>当事人确有经济困难，需要延期缴纳罚款的，经当事人申请，公积金中心批准，可以暂缓或者分期缴纳。</w:t>
      </w:r>
    </w:p>
    <w:p w14:paraId="210817C7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第三十三条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bCs/>
          <w:sz w:val="32"/>
          <w:szCs w:val="32"/>
        </w:rPr>
        <w:t>当事人不履行公积金中心</w:t>
      </w:r>
      <w:proofErr w:type="gramStart"/>
      <w:r>
        <w:rPr>
          <w:rFonts w:ascii="Times New Roman" w:eastAsia="方正仿宋_GBK" w:hAnsi="Times New Roman"/>
          <w:bCs/>
          <w:sz w:val="32"/>
          <w:szCs w:val="32"/>
        </w:rPr>
        <w:t>作出</w:t>
      </w:r>
      <w:proofErr w:type="gramEnd"/>
      <w:r>
        <w:rPr>
          <w:rFonts w:ascii="Times New Roman" w:eastAsia="方正仿宋_GBK" w:hAnsi="Times New Roman"/>
          <w:bCs/>
          <w:sz w:val="32"/>
          <w:szCs w:val="32"/>
        </w:rPr>
        <w:t>限期缴存决定、行政处罚决定，又未在法定期限内申请行政复议或者行政诉讼的，公积金中心应自法定期限届满之日起</w:t>
      </w:r>
      <w:r>
        <w:rPr>
          <w:rFonts w:ascii="Times New Roman" w:eastAsia="方正仿宋_GBK" w:hAnsi="Times New Roman"/>
          <w:bCs/>
          <w:sz w:val="32"/>
          <w:szCs w:val="32"/>
        </w:rPr>
        <w:t>3</w:t>
      </w:r>
      <w:r>
        <w:rPr>
          <w:rFonts w:ascii="Times New Roman" w:eastAsia="方正仿宋_GBK" w:hAnsi="Times New Roman"/>
          <w:bCs/>
          <w:sz w:val="32"/>
          <w:szCs w:val="32"/>
        </w:rPr>
        <w:t>个月内申请人民法院强制执行。</w:t>
      </w:r>
    </w:p>
    <w:p w14:paraId="6CD86792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第三十四条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bCs/>
          <w:sz w:val="32"/>
          <w:szCs w:val="32"/>
        </w:rPr>
        <w:t>公积金中心申请人民法院强制执行前，应在法定期限届满后</w:t>
      </w:r>
      <w:r>
        <w:rPr>
          <w:rFonts w:ascii="Times New Roman" w:eastAsia="方正仿宋_GBK" w:hAnsi="Times New Roman"/>
          <w:bCs/>
          <w:sz w:val="32"/>
          <w:szCs w:val="32"/>
        </w:rPr>
        <w:t>7</w:t>
      </w:r>
      <w:r>
        <w:rPr>
          <w:rFonts w:ascii="Times New Roman" w:eastAsia="方正仿宋_GBK" w:hAnsi="Times New Roman"/>
          <w:bCs/>
          <w:sz w:val="32"/>
          <w:szCs w:val="32"/>
        </w:rPr>
        <w:t>日内催告当事人履行义务。催告书送达</w:t>
      </w:r>
      <w:r>
        <w:rPr>
          <w:rFonts w:ascii="Times New Roman" w:eastAsia="方正仿宋_GBK" w:hAnsi="Times New Roman"/>
          <w:bCs/>
          <w:sz w:val="32"/>
          <w:szCs w:val="32"/>
        </w:rPr>
        <w:t>10</w:t>
      </w:r>
      <w:r>
        <w:rPr>
          <w:rFonts w:ascii="Times New Roman" w:eastAsia="方正仿宋_GBK" w:hAnsi="Times New Roman"/>
          <w:bCs/>
          <w:sz w:val="32"/>
          <w:szCs w:val="32"/>
        </w:rPr>
        <w:t>日后，当事人仍未履行义务的，公积金中心申请人民法院强制执行。</w:t>
      </w:r>
    </w:p>
    <w:p w14:paraId="0F1BA850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lastRenderedPageBreak/>
        <w:t>第三十五条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bCs/>
          <w:sz w:val="32"/>
          <w:szCs w:val="32"/>
        </w:rPr>
        <w:t>执法程序进行中有下列情形之一的，执法程序中止：</w:t>
      </w:r>
    </w:p>
    <w:p w14:paraId="14C9EFA8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（一）投诉职工死亡，其近亲属尚未确定是否参加执法程序的；</w:t>
      </w:r>
    </w:p>
    <w:p w14:paraId="3A87901D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（二）投诉职工丧失行为能力，尚未确定法定代理人参加执法程序的；</w:t>
      </w:r>
    </w:p>
    <w:p w14:paraId="793FD761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（三）被投诉单位法人或其他组织终止，尚未确定权利义务承受人的；</w:t>
      </w:r>
    </w:p>
    <w:p w14:paraId="0C36F68F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（四）案件涉及法律适用问题，需要有权机关</w:t>
      </w:r>
      <w:proofErr w:type="gramStart"/>
      <w:r>
        <w:rPr>
          <w:rFonts w:ascii="Times New Roman" w:eastAsia="方正仿宋_GBK" w:hAnsi="Times New Roman"/>
          <w:bCs/>
          <w:sz w:val="32"/>
          <w:szCs w:val="32"/>
        </w:rPr>
        <w:t>作出</w:t>
      </w:r>
      <w:proofErr w:type="gramEnd"/>
      <w:r>
        <w:rPr>
          <w:rFonts w:ascii="Times New Roman" w:eastAsia="方正仿宋_GBK" w:hAnsi="Times New Roman"/>
          <w:bCs/>
          <w:sz w:val="32"/>
          <w:szCs w:val="32"/>
        </w:rPr>
        <w:t>解释或者确认的；</w:t>
      </w:r>
    </w:p>
    <w:p w14:paraId="3E9D7E64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（五）行政处理决定的</w:t>
      </w:r>
      <w:proofErr w:type="gramStart"/>
      <w:r>
        <w:rPr>
          <w:rFonts w:ascii="Times New Roman" w:eastAsia="方正仿宋_GBK" w:hAnsi="Times New Roman"/>
          <w:bCs/>
          <w:sz w:val="32"/>
          <w:szCs w:val="32"/>
        </w:rPr>
        <w:t>作出</w:t>
      </w:r>
      <w:proofErr w:type="gramEnd"/>
      <w:r>
        <w:rPr>
          <w:rFonts w:ascii="Times New Roman" w:eastAsia="方正仿宋_GBK" w:hAnsi="Times New Roman"/>
          <w:bCs/>
          <w:sz w:val="32"/>
          <w:szCs w:val="32"/>
        </w:rPr>
        <w:t>需要以其他案件的审理结果为依据，而其他案件尚未审结的；</w:t>
      </w:r>
    </w:p>
    <w:p w14:paraId="15281DAB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（六）一方当事人因不可抗力无法参加执法程序的；</w:t>
      </w:r>
    </w:p>
    <w:p w14:paraId="44DF492A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（七）其他需要中止执法程序的情形。</w:t>
      </w:r>
    </w:p>
    <w:p w14:paraId="3C4243AB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案件中止期间不计</w:t>
      </w:r>
      <w:proofErr w:type="gramStart"/>
      <w:r>
        <w:rPr>
          <w:rFonts w:ascii="Times New Roman" w:eastAsia="方正仿宋_GBK" w:hAnsi="Times New Roman"/>
          <w:bCs/>
          <w:sz w:val="32"/>
          <w:szCs w:val="32"/>
        </w:rPr>
        <w:t>入案件</w:t>
      </w:r>
      <w:proofErr w:type="gramEnd"/>
      <w:r>
        <w:rPr>
          <w:rFonts w:ascii="Times New Roman" w:eastAsia="方正仿宋_GBK" w:hAnsi="Times New Roman"/>
          <w:bCs/>
          <w:sz w:val="32"/>
          <w:szCs w:val="32"/>
        </w:rPr>
        <w:t>办理时限。中止的原因消除后，应当及时恢复执法程序。中止、恢复执法程序，执法部门应当告知投诉职工和被投诉单位。</w:t>
      </w:r>
    </w:p>
    <w:p w14:paraId="1429D39E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第三十六条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bCs/>
          <w:sz w:val="32"/>
          <w:szCs w:val="32"/>
        </w:rPr>
        <w:t>执法程序进行中有下列情形之一的，执法程序终止：</w:t>
      </w:r>
    </w:p>
    <w:p w14:paraId="24438E3D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（一）被投诉单位法人或其他组织终止，无义务承担人的；</w:t>
      </w:r>
    </w:p>
    <w:p w14:paraId="53E2693F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（二）据以执行的文书被撤销的；</w:t>
      </w:r>
    </w:p>
    <w:p w14:paraId="47EE833C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（三）案件涉及法律适用问题，有权机关</w:t>
      </w:r>
      <w:proofErr w:type="gramStart"/>
      <w:r>
        <w:rPr>
          <w:rFonts w:ascii="Times New Roman" w:eastAsia="方正仿宋_GBK" w:hAnsi="Times New Roman"/>
          <w:bCs/>
          <w:sz w:val="32"/>
          <w:szCs w:val="32"/>
        </w:rPr>
        <w:t>作出</w:t>
      </w:r>
      <w:proofErr w:type="gramEnd"/>
      <w:r>
        <w:rPr>
          <w:rFonts w:ascii="Times New Roman" w:eastAsia="方正仿宋_GBK" w:hAnsi="Times New Roman"/>
          <w:bCs/>
          <w:sz w:val="32"/>
          <w:szCs w:val="32"/>
        </w:rPr>
        <w:t>解释或者确认导致执法程序无法继续进行的；</w:t>
      </w:r>
    </w:p>
    <w:p w14:paraId="4B6E2C5E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lastRenderedPageBreak/>
        <w:t>（四）行政处理决定的</w:t>
      </w:r>
      <w:proofErr w:type="gramStart"/>
      <w:r>
        <w:rPr>
          <w:rFonts w:ascii="Times New Roman" w:eastAsia="方正仿宋_GBK" w:hAnsi="Times New Roman"/>
          <w:bCs/>
          <w:sz w:val="32"/>
          <w:szCs w:val="32"/>
        </w:rPr>
        <w:t>作出</w:t>
      </w:r>
      <w:proofErr w:type="gramEnd"/>
      <w:r>
        <w:rPr>
          <w:rFonts w:ascii="Times New Roman" w:eastAsia="方正仿宋_GBK" w:hAnsi="Times New Roman"/>
          <w:bCs/>
          <w:sz w:val="32"/>
          <w:szCs w:val="32"/>
        </w:rPr>
        <w:t>需要以其他案件的审理结果为依据，而其他案件结果确认投诉人无投诉依据的；</w:t>
      </w:r>
    </w:p>
    <w:p w14:paraId="12A0FD27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（五）因本办法第三十五条第（</w:t>
      </w:r>
      <w:proofErr w:type="gramStart"/>
      <w:r>
        <w:rPr>
          <w:rFonts w:ascii="Times New Roman" w:eastAsia="方正仿宋_GBK" w:hAnsi="Times New Roman"/>
          <w:bCs/>
          <w:sz w:val="32"/>
          <w:szCs w:val="32"/>
        </w:rPr>
        <w:t>一</w:t>
      </w:r>
      <w:proofErr w:type="gramEnd"/>
      <w:r>
        <w:rPr>
          <w:rFonts w:ascii="Times New Roman" w:eastAsia="方正仿宋_GBK" w:hAnsi="Times New Roman"/>
          <w:bCs/>
          <w:sz w:val="32"/>
          <w:szCs w:val="32"/>
        </w:rPr>
        <w:t>）（二）（三）项原因中止执法程序满</w:t>
      </w:r>
      <w:r>
        <w:rPr>
          <w:rFonts w:ascii="Times New Roman" w:eastAsia="方正仿宋_GBK" w:hAnsi="Times New Roman"/>
          <w:bCs/>
          <w:sz w:val="32"/>
          <w:szCs w:val="32"/>
        </w:rPr>
        <w:t>90</w:t>
      </w:r>
      <w:r>
        <w:rPr>
          <w:rFonts w:ascii="Times New Roman" w:eastAsia="方正仿宋_GBK" w:hAnsi="Times New Roman"/>
          <w:bCs/>
          <w:sz w:val="32"/>
          <w:szCs w:val="32"/>
        </w:rPr>
        <w:t>日仍无法恢复执法程序的；</w:t>
      </w:r>
    </w:p>
    <w:p w14:paraId="6A10B720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（六）其他需要终止执法程序的情形。</w:t>
      </w:r>
    </w:p>
    <w:p w14:paraId="53EB1F51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第三十七条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bCs/>
          <w:sz w:val="32"/>
          <w:szCs w:val="32"/>
        </w:rPr>
        <w:t>具有下列情形的，公积金中心予以结案：</w:t>
      </w:r>
    </w:p>
    <w:p w14:paraId="453CD9EC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（一）当事人在限期改正的期限内改正住房公积金违法行为的；</w:t>
      </w:r>
    </w:p>
    <w:p w14:paraId="7EADB0B1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（二）当事人主动履行完毕行政处罚决定或限期缴存决定的；</w:t>
      </w:r>
    </w:p>
    <w:p w14:paraId="5EC95A1F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（三）人民法院受理强制执行申请并执行完毕，或人民法院裁定案件执行终结的；</w:t>
      </w:r>
    </w:p>
    <w:p w14:paraId="76FB4C8C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（四）投诉人申请撤案的；</w:t>
      </w:r>
    </w:p>
    <w:p w14:paraId="5B69609C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（五）执法程序终止的；</w:t>
      </w:r>
    </w:p>
    <w:p w14:paraId="4787F77C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（六）其他应予以结案的情况。</w:t>
      </w:r>
    </w:p>
    <w:p w14:paraId="6123871F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第三十八条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bCs/>
          <w:sz w:val="32"/>
          <w:szCs w:val="32"/>
        </w:rPr>
        <w:t>行政执法案件结案后，公积金中心应将处理结果书面告知投诉人。</w:t>
      </w:r>
    </w:p>
    <w:p w14:paraId="13400FAC" w14:textId="77777777" w:rsidR="004C68B9" w:rsidRDefault="004C68B9">
      <w:pPr>
        <w:spacing w:line="570" w:lineRule="exact"/>
        <w:jc w:val="left"/>
        <w:rPr>
          <w:rFonts w:ascii="Times New Roman" w:eastAsia="方正仿宋_GBK" w:hAnsi="Times New Roman"/>
          <w:bCs/>
          <w:sz w:val="32"/>
          <w:szCs w:val="32"/>
        </w:rPr>
      </w:pPr>
    </w:p>
    <w:p w14:paraId="08484A7B" w14:textId="77777777" w:rsidR="004C68B9" w:rsidRDefault="00332406">
      <w:pPr>
        <w:spacing w:line="570" w:lineRule="exact"/>
        <w:jc w:val="center"/>
        <w:rPr>
          <w:rFonts w:ascii="Times New Roman" w:eastAsia="方正黑体_GBK" w:hAnsi="Times New Roman"/>
          <w:bCs/>
          <w:sz w:val="32"/>
          <w:szCs w:val="32"/>
        </w:rPr>
      </w:pPr>
      <w:r>
        <w:rPr>
          <w:rFonts w:ascii="Times New Roman" w:eastAsia="方正黑体_GBK" w:hAnsi="Times New Roman" w:hint="eastAsia"/>
          <w:bCs/>
          <w:sz w:val="32"/>
          <w:szCs w:val="32"/>
        </w:rPr>
        <w:t>第五章</w:t>
      </w:r>
      <w:r>
        <w:rPr>
          <w:rFonts w:ascii="Times New Roman" w:eastAsia="方正黑体_GBK" w:hAnsi="Times New Roman" w:hint="eastAsia"/>
          <w:bCs/>
          <w:sz w:val="32"/>
          <w:szCs w:val="32"/>
        </w:rPr>
        <w:t xml:space="preserve"> </w:t>
      </w:r>
      <w:r>
        <w:rPr>
          <w:rFonts w:ascii="Times New Roman" w:eastAsia="方正黑体_GBK" w:hAnsi="Times New Roman"/>
          <w:bCs/>
          <w:sz w:val="32"/>
          <w:szCs w:val="32"/>
        </w:rPr>
        <w:t xml:space="preserve"> </w:t>
      </w:r>
      <w:r>
        <w:rPr>
          <w:rFonts w:ascii="Times New Roman" w:eastAsia="方正黑体_GBK" w:hAnsi="Times New Roman"/>
          <w:bCs/>
          <w:sz w:val="32"/>
          <w:szCs w:val="32"/>
        </w:rPr>
        <w:t>监</w:t>
      </w:r>
      <w:r>
        <w:rPr>
          <w:rFonts w:ascii="Times New Roman" w:eastAsia="方正黑体_GBK" w:hAnsi="Times New Roman"/>
          <w:bCs/>
          <w:sz w:val="32"/>
          <w:szCs w:val="32"/>
        </w:rPr>
        <w:t xml:space="preserve">  </w:t>
      </w:r>
      <w:r>
        <w:rPr>
          <w:rFonts w:ascii="Times New Roman" w:eastAsia="方正黑体_GBK" w:hAnsi="Times New Roman"/>
          <w:bCs/>
          <w:sz w:val="32"/>
          <w:szCs w:val="32"/>
        </w:rPr>
        <w:t>督</w:t>
      </w:r>
    </w:p>
    <w:p w14:paraId="1E3E6994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第三十九条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bCs/>
          <w:sz w:val="32"/>
          <w:szCs w:val="32"/>
        </w:rPr>
        <w:t>行政执法人员违反廉洁从业纪律，收受、索要财物，或存在玩忽职守、滥用职权、徇私舞弊等行为的，移送有权机关依规依纪处理；涉嫌构成犯罪的，移送司法机关依法追究刑事责任。</w:t>
      </w:r>
    </w:p>
    <w:p w14:paraId="2F7340CA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第四十条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bCs/>
          <w:sz w:val="32"/>
          <w:szCs w:val="32"/>
        </w:rPr>
        <w:t>公积金中心违反有关法律、法规及本办法规</w:t>
      </w:r>
      <w:r>
        <w:rPr>
          <w:rFonts w:ascii="Times New Roman" w:eastAsia="方正仿宋_GBK" w:hAnsi="Times New Roman"/>
          <w:bCs/>
          <w:sz w:val="32"/>
          <w:szCs w:val="32"/>
        </w:rPr>
        <w:lastRenderedPageBreak/>
        <w:t>定，侵犯当事人合法权益的，当事人有权向有关部门投诉。</w:t>
      </w:r>
    </w:p>
    <w:p w14:paraId="6B2412E5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第四十一条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bCs/>
          <w:sz w:val="32"/>
          <w:szCs w:val="32"/>
        </w:rPr>
        <w:t>公积金中心依法开展行政执法工作受法律保护，任何单位和个人不得拒绝、阻碍或干预执法人员履行职责。拒绝、阻碍行政执法人员依法执行公务的，由公安机关依照《中华人民共和国治安管理处罚法》进行处罚；涉嫌构成犯罪的，依法追究刑事责任。</w:t>
      </w:r>
    </w:p>
    <w:p w14:paraId="19B31444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第四十二条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bCs/>
          <w:sz w:val="32"/>
          <w:szCs w:val="32"/>
        </w:rPr>
        <w:t>对于违反住房公积金法规，拒不履行公积金中心处理决定的当事人，公积金中心可在中心门户网站、企业信用信息网及其他媒体公开相关信息。</w:t>
      </w:r>
    </w:p>
    <w:p w14:paraId="06FDB5F5" w14:textId="77777777" w:rsidR="004C68B9" w:rsidRDefault="004C68B9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</w:p>
    <w:p w14:paraId="57791180" w14:textId="77777777" w:rsidR="004C68B9" w:rsidRDefault="00332406">
      <w:pPr>
        <w:spacing w:line="570" w:lineRule="exact"/>
        <w:jc w:val="center"/>
        <w:rPr>
          <w:rFonts w:ascii="Times New Roman" w:eastAsia="方正黑体_GBK" w:hAnsi="Times New Roman"/>
          <w:bCs/>
          <w:sz w:val="32"/>
          <w:szCs w:val="32"/>
        </w:rPr>
      </w:pPr>
      <w:r>
        <w:rPr>
          <w:rFonts w:ascii="Times New Roman" w:eastAsia="方正黑体_GBK" w:hAnsi="Times New Roman"/>
          <w:bCs/>
          <w:sz w:val="32"/>
          <w:szCs w:val="32"/>
        </w:rPr>
        <w:t>第六章</w:t>
      </w:r>
      <w:r>
        <w:rPr>
          <w:rFonts w:ascii="Times New Roman" w:eastAsia="方正黑体_GBK" w:hAnsi="Times New Roman"/>
          <w:bCs/>
          <w:sz w:val="32"/>
          <w:szCs w:val="32"/>
        </w:rPr>
        <w:t xml:space="preserve">  </w:t>
      </w:r>
      <w:r>
        <w:rPr>
          <w:rFonts w:ascii="Times New Roman" w:eastAsia="方正黑体_GBK" w:hAnsi="Times New Roman"/>
          <w:bCs/>
          <w:sz w:val="32"/>
          <w:szCs w:val="32"/>
        </w:rPr>
        <w:t>附</w:t>
      </w:r>
      <w:r>
        <w:rPr>
          <w:rFonts w:ascii="Times New Roman" w:eastAsia="方正黑体_GBK" w:hAnsi="Times New Roman"/>
          <w:bCs/>
          <w:sz w:val="32"/>
          <w:szCs w:val="32"/>
        </w:rPr>
        <w:t xml:space="preserve">  </w:t>
      </w:r>
      <w:r>
        <w:rPr>
          <w:rFonts w:ascii="Times New Roman" w:eastAsia="方正黑体_GBK" w:hAnsi="Times New Roman"/>
          <w:bCs/>
          <w:sz w:val="32"/>
          <w:szCs w:val="32"/>
        </w:rPr>
        <w:t>则</w:t>
      </w:r>
    </w:p>
    <w:p w14:paraId="39070D5A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第四十三条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bCs/>
          <w:sz w:val="32"/>
          <w:szCs w:val="32"/>
        </w:rPr>
        <w:t>本办法与国家、省、市住房公积金行政执法有关规定不一致的，从其规定。</w:t>
      </w:r>
    </w:p>
    <w:p w14:paraId="738736A1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第四十四条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bCs/>
          <w:sz w:val="32"/>
          <w:szCs w:val="32"/>
        </w:rPr>
        <w:t>本办法由资阳市住房公积金管理中心负责解释。</w:t>
      </w:r>
    </w:p>
    <w:p w14:paraId="614C24A7" w14:textId="77777777" w:rsidR="004C68B9" w:rsidRDefault="00332406">
      <w:pPr>
        <w:spacing w:line="57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第四十五条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bCs/>
          <w:sz w:val="32"/>
          <w:szCs w:val="32"/>
        </w:rPr>
        <w:t>本办法自公布之日起</w:t>
      </w:r>
      <w:r>
        <w:rPr>
          <w:rFonts w:ascii="Times New Roman" w:eastAsia="方正仿宋_GBK" w:hAnsi="Times New Roman"/>
          <w:bCs/>
          <w:sz w:val="32"/>
          <w:szCs w:val="32"/>
        </w:rPr>
        <w:t>30</w:t>
      </w:r>
      <w:r>
        <w:rPr>
          <w:rFonts w:ascii="Times New Roman" w:eastAsia="方正仿宋_GBK" w:hAnsi="Times New Roman"/>
          <w:bCs/>
          <w:sz w:val="32"/>
          <w:szCs w:val="32"/>
        </w:rPr>
        <w:t>日后施行，有效期</w:t>
      </w:r>
      <w:r>
        <w:rPr>
          <w:rFonts w:ascii="Times New Roman" w:eastAsia="方正仿宋_GBK" w:hAnsi="Times New Roman"/>
          <w:bCs/>
          <w:sz w:val="32"/>
          <w:szCs w:val="32"/>
        </w:rPr>
        <w:t>5</w:t>
      </w:r>
      <w:r>
        <w:rPr>
          <w:rFonts w:ascii="Times New Roman" w:eastAsia="方正仿宋_GBK" w:hAnsi="Times New Roman"/>
          <w:bCs/>
          <w:sz w:val="32"/>
          <w:szCs w:val="32"/>
        </w:rPr>
        <w:t>年。</w:t>
      </w:r>
    </w:p>
    <w:p w14:paraId="296A4AF0" w14:textId="77777777" w:rsidR="004C68B9" w:rsidRDefault="004C68B9">
      <w:pPr>
        <w:spacing w:line="160" w:lineRule="exact"/>
        <w:rPr>
          <w:rFonts w:ascii="方正仿宋简体" w:eastAsia="方正仿宋简体"/>
          <w:sz w:val="16"/>
          <w:szCs w:val="16"/>
        </w:rPr>
      </w:pPr>
    </w:p>
    <w:sectPr w:rsidR="004C68B9">
      <w:headerReference w:type="default" r:id="rId7"/>
      <w:footerReference w:type="even" r:id="rId8"/>
      <w:footerReference w:type="default" r:id="rId9"/>
      <w:pgSz w:w="11906" w:h="16838"/>
      <w:pgMar w:top="1440" w:right="1474" w:bottom="1440" w:left="1588" w:header="851" w:footer="992" w:gutter="0"/>
      <w:pgNumType w:fmt="numberInDash"/>
      <w:cols w:space="720"/>
      <w:docGrid w:linePitch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D40B0" w14:textId="77777777" w:rsidR="00256D10" w:rsidRDefault="00256D10">
      <w:r>
        <w:separator/>
      </w:r>
    </w:p>
  </w:endnote>
  <w:endnote w:type="continuationSeparator" w:id="0">
    <w:p w14:paraId="347CB6F8" w14:textId="77777777" w:rsidR="00256D10" w:rsidRDefault="0025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微软雅黑"/>
    <w:charset w:val="00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D17D1" w14:textId="77777777" w:rsidR="004C68B9" w:rsidRDefault="00332406">
    <w:pPr>
      <w:pStyle w:val="aa"/>
      <w:framePr w:wrap="around" w:vAnchor="text" w:hAnchor="margin" w:xAlign="outside" w:y="1"/>
      <w:rPr>
        <w:rStyle w:val="af1"/>
        <w:rFonts w:ascii="宋体" w:hAnsi="宋体"/>
        <w:sz w:val="28"/>
        <w:szCs w:val="28"/>
      </w:rPr>
    </w:pPr>
    <w:r>
      <w:rPr>
        <w:rStyle w:val="af1"/>
        <w:rFonts w:ascii="宋体" w:hAnsi="宋体"/>
        <w:sz w:val="28"/>
        <w:szCs w:val="28"/>
      </w:rPr>
      <w:fldChar w:fldCharType="begin"/>
    </w:r>
    <w:r>
      <w:rPr>
        <w:rStyle w:val="af1"/>
        <w:rFonts w:ascii="宋体" w:hAnsi="宋体"/>
        <w:sz w:val="28"/>
        <w:szCs w:val="28"/>
      </w:rPr>
      <w:instrText xml:space="preserve">PAGE  </w:instrText>
    </w:r>
    <w:r>
      <w:rPr>
        <w:rStyle w:val="af1"/>
        <w:rFonts w:ascii="宋体" w:hAnsi="宋体"/>
        <w:sz w:val="28"/>
        <w:szCs w:val="28"/>
      </w:rPr>
      <w:fldChar w:fldCharType="separate"/>
    </w:r>
    <w:r>
      <w:rPr>
        <w:rStyle w:val="af1"/>
        <w:rFonts w:ascii="宋体" w:hAnsi="宋体"/>
        <w:sz w:val="28"/>
        <w:szCs w:val="28"/>
      </w:rPr>
      <w:t>- 12 -</w:t>
    </w:r>
    <w:r>
      <w:rPr>
        <w:rStyle w:val="af1"/>
        <w:rFonts w:ascii="宋体" w:hAnsi="宋体"/>
        <w:sz w:val="28"/>
        <w:szCs w:val="28"/>
      </w:rPr>
      <w:fldChar w:fldCharType="end"/>
    </w:r>
  </w:p>
  <w:p w14:paraId="622F8748" w14:textId="77777777" w:rsidR="004C68B9" w:rsidRDefault="004C68B9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CB88" w14:textId="77777777" w:rsidR="004C68B9" w:rsidRDefault="00332406">
    <w:pPr>
      <w:pStyle w:val="aa"/>
      <w:framePr w:wrap="around" w:vAnchor="text" w:hAnchor="margin" w:xAlign="outside" w:y="1"/>
      <w:rPr>
        <w:rStyle w:val="af1"/>
        <w:rFonts w:ascii="宋体" w:hAnsi="宋体"/>
        <w:sz w:val="28"/>
        <w:szCs w:val="28"/>
      </w:rPr>
    </w:pPr>
    <w:r>
      <w:rPr>
        <w:rStyle w:val="af1"/>
        <w:rFonts w:ascii="宋体" w:hAnsi="宋体"/>
        <w:sz w:val="28"/>
        <w:szCs w:val="28"/>
      </w:rPr>
      <w:fldChar w:fldCharType="begin"/>
    </w:r>
    <w:r>
      <w:rPr>
        <w:rStyle w:val="af1"/>
        <w:rFonts w:ascii="宋体" w:hAnsi="宋体"/>
        <w:sz w:val="28"/>
        <w:szCs w:val="28"/>
      </w:rPr>
      <w:instrText xml:space="preserve">PAGE  </w:instrText>
    </w:r>
    <w:r>
      <w:rPr>
        <w:rStyle w:val="af1"/>
        <w:rFonts w:ascii="宋体" w:hAnsi="宋体"/>
        <w:sz w:val="28"/>
        <w:szCs w:val="28"/>
      </w:rPr>
      <w:fldChar w:fldCharType="separate"/>
    </w:r>
    <w:r w:rsidR="000111BB">
      <w:rPr>
        <w:rStyle w:val="af1"/>
        <w:rFonts w:ascii="宋体" w:hAnsi="宋体"/>
        <w:noProof/>
        <w:sz w:val="28"/>
        <w:szCs w:val="28"/>
      </w:rPr>
      <w:t>- 11 -</w:t>
    </w:r>
    <w:r>
      <w:rPr>
        <w:rStyle w:val="af1"/>
        <w:rFonts w:ascii="宋体" w:hAnsi="宋体"/>
        <w:sz w:val="28"/>
        <w:szCs w:val="28"/>
      </w:rPr>
      <w:fldChar w:fldCharType="end"/>
    </w:r>
  </w:p>
  <w:p w14:paraId="09B2A593" w14:textId="77777777" w:rsidR="004C68B9" w:rsidRDefault="004C68B9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69079" w14:textId="77777777" w:rsidR="00256D10" w:rsidRDefault="00256D10">
      <w:r>
        <w:separator/>
      </w:r>
    </w:p>
  </w:footnote>
  <w:footnote w:type="continuationSeparator" w:id="0">
    <w:p w14:paraId="0C4F30C0" w14:textId="77777777" w:rsidR="00256D10" w:rsidRDefault="00256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0B30C" w14:textId="77777777" w:rsidR="004C68B9" w:rsidRDefault="004C68B9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87BA79D"/>
    <w:multiLevelType w:val="singleLevel"/>
    <w:tmpl w:val="987BA79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5045D32"/>
    <w:multiLevelType w:val="singleLevel"/>
    <w:tmpl w:val="A5045D32"/>
    <w:lvl w:ilvl="0">
      <w:start w:val="9"/>
      <w:numFmt w:val="chineseCounting"/>
      <w:suff w:val="space"/>
      <w:lvlText w:val="第%1条"/>
      <w:lvlJc w:val="left"/>
      <w:rPr>
        <w:rFonts w:ascii="方正仿宋_GBK" w:eastAsia="方正仿宋_GBK" w:hAnsi="方正仿宋_GBK" w:cs="方正仿宋_GBK" w:hint="eastAsia"/>
        <w:b/>
        <w:bCs/>
        <w:sz w:val="33"/>
      </w:rPr>
    </w:lvl>
  </w:abstractNum>
  <w:abstractNum w:abstractNumId="2">
    <w:nsid w:val="00000025"/>
    <w:multiLevelType w:val="multilevel"/>
    <w:tmpl w:val="00000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lvlText w:val="%2"/>
      <w:lvlJc w:val="left"/>
      <w:pPr>
        <w:tabs>
          <w:tab w:val="left" w:pos="420"/>
        </w:tabs>
        <w:ind w:left="420" w:hanging="42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%2.%3.%4.%5.%6　"/>
      <w:lvlJc w:val="left"/>
      <w:pPr>
        <w:ind w:left="84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pStyle w:val="a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%2.%3.%4.%5.%6.%7.%8"/>
      <w:lvlJc w:val="left"/>
      <w:pPr>
        <w:tabs>
          <w:tab w:val="left" w:pos="2835"/>
        </w:tabs>
        <w:ind w:left="0" w:firstLine="0"/>
      </w:pPr>
      <w:rPr>
        <w:rFonts w:ascii="黑体" w:eastAsia="黑体" w:hint="eastAsia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0NDFjNmM3ODJmZWZjOTJkMTBiYTE1N2ViNjk1YzQifQ=="/>
  </w:docVars>
  <w:rsids>
    <w:rsidRoot w:val="00960510"/>
    <w:rsid w:val="9F7FE2C3"/>
    <w:rsid w:val="C5FCB1E6"/>
    <w:rsid w:val="DB59CBFD"/>
    <w:rsid w:val="DFFF3180"/>
    <w:rsid w:val="E9DE55AC"/>
    <w:rsid w:val="EEF7617D"/>
    <w:rsid w:val="EF6E4491"/>
    <w:rsid w:val="F7DBB6F4"/>
    <w:rsid w:val="FB7FFC29"/>
    <w:rsid w:val="FFDF6267"/>
    <w:rsid w:val="000111BB"/>
    <w:rsid w:val="00011854"/>
    <w:rsid w:val="00012AE2"/>
    <w:rsid w:val="0001579B"/>
    <w:rsid w:val="00020969"/>
    <w:rsid w:val="00030FE4"/>
    <w:rsid w:val="00046B6F"/>
    <w:rsid w:val="00050097"/>
    <w:rsid w:val="000544CD"/>
    <w:rsid w:val="00065243"/>
    <w:rsid w:val="00072ECE"/>
    <w:rsid w:val="00074293"/>
    <w:rsid w:val="00083319"/>
    <w:rsid w:val="00090A0B"/>
    <w:rsid w:val="00096B18"/>
    <w:rsid w:val="000A0751"/>
    <w:rsid w:val="000A27BF"/>
    <w:rsid w:val="000A4A39"/>
    <w:rsid w:val="000A4A87"/>
    <w:rsid w:val="000A55FF"/>
    <w:rsid w:val="000B0D07"/>
    <w:rsid w:val="000B4582"/>
    <w:rsid w:val="000D78C0"/>
    <w:rsid w:val="001006CF"/>
    <w:rsid w:val="0010165E"/>
    <w:rsid w:val="0011259D"/>
    <w:rsid w:val="00113D41"/>
    <w:rsid w:val="00120B7B"/>
    <w:rsid w:val="001406DB"/>
    <w:rsid w:val="001420C7"/>
    <w:rsid w:val="00145C6E"/>
    <w:rsid w:val="00160964"/>
    <w:rsid w:val="0016775A"/>
    <w:rsid w:val="001719F2"/>
    <w:rsid w:val="001765A9"/>
    <w:rsid w:val="001772EE"/>
    <w:rsid w:val="00185A94"/>
    <w:rsid w:val="001930A4"/>
    <w:rsid w:val="00197602"/>
    <w:rsid w:val="001A1118"/>
    <w:rsid w:val="001A552A"/>
    <w:rsid w:val="001B5300"/>
    <w:rsid w:val="001B62ED"/>
    <w:rsid w:val="001C42DB"/>
    <w:rsid w:val="001D2716"/>
    <w:rsid w:val="001D743E"/>
    <w:rsid w:val="001E6067"/>
    <w:rsid w:val="001E6E4F"/>
    <w:rsid w:val="001F01A3"/>
    <w:rsid w:val="001F12E1"/>
    <w:rsid w:val="001F6AE7"/>
    <w:rsid w:val="00202058"/>
    <w:rsid w:val="00203883"/>
    <w:rsid w:val="00204A3E"/>
    <w:rsid w:val="00210E52"/>
    <w:rsid w:val="00213467"/>
    <w:rsid w:val="00214438"/>
    <w:rsid w:val="002166F3"/>
    <w:rsid w:val="00227112"/>
    <w:rsid w:val="0023089B"/>
    <w:rsid w:val="00237B8F"/>
    <w:rsid w:val="002458FD"/>
    <w:rsid w:val="00251924"/>
    <w:rsid w:val="00256746"/>
    <w:rsid w:val="00256D10"/>
    <w:rsid w:val="00263C13"/>
    <w:rsid w:val="00270CAB"/>
    <w:rsid w:val="00271506"/>
    <w:rsid w:val="00274FD8"/>
    <w:rsid w:val="00277660"/>
    <w:rsid w:val="0028140A"/>
    <w:rsid w:val="0028222D"/>
    <w:rsid w:val="002913B4"/>
    <w:rsid w:val="002A27F2"/>
    <w:rsid w:val="002A6F54"/>
    <w:rsid w:val="002C3D13"/>
    <w:rsid w:val="002C42A6"/>
    <w:rsid w:val="002D1F0E"/>
    <w:rsid w:val="002E0A10"/>
    <w:rsid w:val="002E6CAB"/>
    <w:rsid w:val="002F35F6"/>
    <w:rsid w:val="002F4BDD"/>
    <w:rsid w:val="002F70A6"/>
    <w:rsid w:val="00300E8C"/>
    <w:rsid w:val="00312710"/>
    <w:rsid w:val="00314FED"/>
    <w:rsid w:val="003224CC"/>
    <w:rsid w:val="00324822"/>
    <w:rsid w:val="00332406"/>
    <w:rsid w:val="003370F8"/>
    <w:rsid w:val="00340580"/>
    <w:rsid w:val="0034537A"/>
    <w:rsid w:val="003520DC"/>
    <w:rsid w:val="00376B9E"/>
    <w:rsid w:val="00380C5E"/>
    <w:rsid w:val="00387328"/>
    <w:rsid w:val="00394AF7"/>
    <w:rsid w:val="003A25C4"/>
    <w:rsid w:val="003A6078"/>
    <w:rsid w:val="003C5DAC"/>
    <w:rsid w:val="003C66C7"/>
    <w:rsid w:val="003D33F7"/>
    <w:rsid w:val="003E3FD7"/>
    <w:rsid w:val="003E4D4F"/>
    <w:rsid w:val="003E56AF"/>
    <w:rsid w:val="003F0490"/>
    <w:rsid w:val="004037C4"/>
    <w:rsid w:val="00410E82"/>
    <w:rsid w:val="0041750C"/>
    <w:rsid w:val="00421711"/>
    <w:rsid w:val="00424F9F"/>
    <w:rsid w:val="00425FA0"/>
    <w:rsid w:val="004351D7"/>
    <w:rsid w:val="00435F95"/>
    <w:rsid w:val="00437432"/>
    <w:rsid w:val="00441CC4"/>
    <w:rsid w:val="00444881"/>
    <w:rsid w:val="004476EE"/>
    <w:rsid w:val="00455302"/>
    <w:rsid w:val="004647BD"/>
    <w:rsid w:val="00467124"/>
    <w:rsid w:val="00482FF4"/>
    <w:rsid w:val="004932F1"/>
    <w:rsid w:val="004A39F5"/>
    <w:rsid w:val="004B273A"/>
    <w:rsid w:val="004B5653"/>
    <w:rsid w:val="004B7058"/>
    <w:rsid w:val="004B79E8"/>
    <w:rsid w:val="004C1744"/>
    <w:rsid w:val="004C68B9"/>
    <w:rsid w:val="004E34BE"/>
    <w:rsid w:val="004F3EDA"/>
    <w:rsid w:val="004F572E"/>
    <w:rsid w:val="00503DC3"/>
    <w:rsid w:val="00522E4E"/>
    <w:rsid w:val="00522FE5"/>
    <w:rsid w:val="00525604"/>
    <w:rsid w:val="005373F7"/>
    <w:rsid w:val="00541A18"/>
    <w:rsid w:val="00541F1E"/>
    <w:rsid w:val="0055244A"/>
    <w:rsid w:val="00552838"/>
    <w:rsid w:val="005539BD"/>
    <w:rsid w:val="00554039"/>
    <w:rsid w:val="00556B02"/>
    <w:rsid w:val="005622AB"/>
    <w:rsid w:val="00576FB0"/>
    <w:rsid w:val="00580ADD"/>
    <w:rsid w:val="0059145A"/>
    <w:rsid w:val="00593D74"/>
    <w:rsid w:val="0059550E"/>
    <w:rsid w:val="005974A5"/>
    <w:rsid w:val="005A06F9"/>
    <w:rsid w:val="005A23B5"/>
    <w:rsid w:val="005A246B"/>
    <w:rsid w:val="005B14AA"/>
    <w:rsid w:val="005C7B30"/>
    <w:rsid w:val="005D1574"/>
    <w:rsid w:val="005D5FC6"/>
    <w:rsid w:val="005D6ECC"/>
    <w:rsid w:val="005E52A8"/>
    <w:rsid w:val="005F09DC"/>
    <w:rsid w:val="005F4694"/>
    <w:rsid w:val="00601B99"/>
    <w:rsid w:val="006213F0"/>
    <w:rsid w:val="00626E69"/>
    <w:rsid w:val="00633957"/>
    <w:rsid w:val="00672AA0"/>
    <w:rsid w:val="0067725A"/>
    <w:rsid w:val="00686528"/>
    <w:rsid w:val="0068704C"/>
    <w:rsid w:val="00693543"/>
    <w:rsid w:val="006969DF"/>
    <w:rsid w:val="006A449B"/>
    <w:rsid w:val="006B4206"/>
    <w:rsid w:val="006C70DE"/>
    <w:rsid w:val="006D60A1"/>
    <w:rsid w:val="006D6187"/>
    <w:rsid w:val="006E2B39"/>
    <w:rsid w:val="006E2D7C"/>
    <w:rsid w:val="006E626C"/>
    <w:rsid w:val="006F2548"/>
    <w:rsid w:val="006F45E8"/>
    <w:rsid w:val="00703664"/>
    <w:rsid w:val="00714452"/>
    <w:rsid w:val="007158BE"/>
    <w:rsid w:val="007243FD"/>
    <w:rsid w:val="00731F26"/>
    <w:rsid w:val="00754053"/>
    <w:rsid w:val="00760161"/>
    <w:rsid w:val="00762DC2"/>
    <w:rsid w:val="00765744"/>
    <w:rsid w:val="007657E5"/>
    <w:rsid w:val="00774F0F"/>
    <w:rsid w:val="00775A1B"/>
    <w:rsid w:val="007806BF"/>
    <w:rsid w:val="00787A9E"/>
    <w:rsid w:val="007971FA"/>
    <w:rsid w:val="007B0B42"/>
    <w:rsid w:val="007B4C87"/>
    <w:rsid w:val="007D37E6"/>
    <w:rsid w:val="007D6D67"/>
    <w:rsid w:val="007F191F"/>
    <w:rsid w:val="007F4A5E"/>
    <w:rsid w:val="007F7E3E"/>
    <w:rsid w:val="00800D7A"/>
    <w:rsid w:val="008012E6"/>
    <w:rsid w:val="00806455"/>
    <w:rsid w:val="0082213D"/>
    <w:rsid w:val="00830C71"/>
    <w:rsid w:val="00836DE1"/>
    <w:rsid w:val="00846686"/>
    <w:rsid w:val="00862281"/>
    <w:rsid w:val="0087120B"/>
    <w:rsid w:val="008727F6"/>
    <w:rsid w:val="008804AA"/>
    <w:rsid w:val="00881CEB"/>
    <w:rsid w:val="00882ABF"/>
    <w:rsid w:val="00886F86"/>
    <w:rsid w:val="00887FD7"/>
    <w:rsid w:val="008909F9"/>
    <w:rsid w:val="008A5791"/>
    <w:rsid w:val="008B3BF3"/>
    <w:rsid w:val="008B45EE"/>
    <w:rsid w:val="008B5D72"/>
    <w:rsid w:val="008E07F4"/>
    <w:rsid w:val="008E7715"/>
    <w:rsid w:val="008F564F"/>
    <w:rsid w:val="008F5F6A"/>
    <w:rsid w:val="00905B02"/>
    <w:rsid w:val="00916BEA"/>
    <w:rsid w:val="009202E4"/>
    <w:rsid w:val="00930631"/>
    <w:rsid w:val="00937413"/>
    <w:rsid w:val="009440EA"/>
    <w:rsid w:val="00945D35"/>
    <w:rsid w:val="00953707"/>
    <w:rsid w:val="00960510"/>
    <w:rsid w:val="00963E66"/>
    <w:rsid w:val="00980AD7"/>
    <w:rsid w:val="009D2C22"/>
    <w:rsid w:val="009D64AA"/>
    <w:rsid w:val="009F045B"/>
    <w:rsid w:val="009F3A41"/>
    <w:rsid w:val="00A105B6"/>
    <w:rsid w:val="00A12538"/>
    <w:rsid w:val="00A235FE"/>
    <w:rsid w:val="00A31D79"/>
    <w:rsid w:val="00A366BE"/>
    <w:rsid w:val="00A40EA1"/>
    <w:rsid w:val="00A47B1A"/>
    <w:rsid w:val="00A5775F"/>
    <w:rsid w:val="00A612C6"/>
    <w:rsid w:val="00A64794"/>
    <w:rsid w:val="00A75E2B"/>
    <w:rsid w:val="00A760B9"/>
    <w:rsid w:val="00A85798"/>
    <w:rsid w:val="00A926A0"/>
    <w:rsid w:val="00AA5D98"/>
    <w:rsid w:val="00AD72D0"/>
    <w:rsid w:val="00AF102A"/>
    <w:rsid w:val="00AF504B"/>
    <w:rsid w:val="00B0261E"/>
    <w:rsid w:val="00B0317F"/>
    <w:rsid w:val="00B1068B"/>
    <w:rsid w:val="00B10EE5"/>
    <w:rsid w:val="00B1287A"/>
    <w:rsid w:val="00B1622A"/>
    <w:rsid w:val="00B22BEE"/>
    <w:rsid w:val="00B23E45"/>
    <w:rsid w:val="00B252CC"/>
    <w:rsid w:val="00B25378"/>
    <w:rsid w:val="00B25818"/>
    <w:rsid w:val="00B26775"/>
    <w:rsid w:val="00B26CE4"/>
    <w:rsid w:val="00B332DA"/>
    <w:rsid w:val="00B346FD"/>
    <w:rsid w:val="00B41210"/>
    <w:rsid w:val="00B4293D"/>
    <w:rsid w:val="00B43664"/>
    <w:rsid w:val="00B4757C"/>
    <w:rsid w:val="00B60CA4"/>
    <w:rsid w:val="00B62DE8"/>
    <w:rsid w:val="00B63853"/>
    <w:rsid w:val="00B87039"/>
    <w:rsid w:val="00B8777A"/>
    <w:rsid w:val="00B94FBE"/>
    <w:rsid w:val="00BA107B"/>
    <w:rsid w:val="00BC067B"/>
    <w:rsid w:val="00BC47F6"/>
    <w:rsid w:val="00BD06F8"/>
    <w:rsid w:val="00BE0095"/>
    <w:rsid w:val="00BE688A"/>
    <w:rsid w:val="00BF2455"/>
    <w:rsid w:val="00BF4C6D"/>
    <w:rsid w:val="00BF57DA"/>
    <w:rsid w:val="00C045C9"/>
    <w:rsid w:val="00C135DE"/>
    <w:rsid w:val="00C17354"/>
    <w:rsid w:val="00C37EE7"/>
    <w:rsid w:val="00C47957"/>
    <w:rsid w:val="00C50DCD"/>
    <w:rsid w:val="00C52955"/>
    <w:rsid w:val="00C52ED5"/>
    <w:rsid w:val="00C6206D"/>
    <w:rsid w:val="00C71A42"/>
    <w:rsid w:val="00C73EF7"/>
    <w:rsid w:val="00C80D9A"/>
    <w:rsid w:val="00CA16CD"/>
    <w:rsid w:val="00CA4165"/>
    <w:rsid w:val="00CA7444"/>
    <w:rsid w:val="00CB66A7"/>
    <w:rsid w:val="00CD22E0"/>
    <w:rsid w:val="00CD7DC8"/>
    <w:rsid w:val="00CE06F3"/>
    <w:rsid w:val="00CE6AC0"/>
    <w:rsid w:val="00D12C34"/>
    <w:rsid w:val="00D27035"/>
    <w:rsid w:val="00D337F4"/>
    <w:rsid w:val="00D41C16"/>
    <w:rsid w:val="00D4533A"/>
    <w:rsid w:val="00D53471"/>
    <w:rsid w:val="00D544B1"/>
    <w:rsid w:val="00D649C2"/>
    <w:rsid w:val="00D65CF2"/>
    <w:rsid w:val="00D732F5"/>
    <w:rsid w:val="00D82899"/>
    <w:rsid w:val="00D85171"/>
    <w:rsid w:val="00D852CC"/>
    <w:rsid w:val="00D866ED"/>
    <w:rsid w:val="00D91E9E"/>
    <w:rsid w:val="00D92752"/>
    <w:rsid w:val="00D96695"/>
    <w:rsid w:val="00DB1CDB"/>
    <w:rsid w:val="00DB7430"/>
    <w:rsid w:val="00DD25E0"/>
    <w:rsid w:val="00DD25E5"/>
    <w:rsid w:val="00DE204A"/>
    <w:rsid w:val="00DE41F7"/>
    <w:rsid w:val="00DF0616"/>
    <w:rsid w:val="00DF0D21"/>
    <w:rsid w:val="00DF43A4"/>
    <w:rsid w:val="00DF43C5"/>
    <w:rsid w:val="00E12781"/>
    <w:rsid w:val="00E16000"/>
    <w:rsid w:val="00E16141"/>
    <w:rsid w:val="00E21687"/>
    <w:rsid w:val="00E25ACD"/>
    <w:rsid w:val="00E3312B"/>
    <w:rsid w:val="00E448D6"/>
    <w:rsid w:val="00E46101"/>
    <w:rsid w:val="00E67644"/>
    <w:rsid w:val="00E9773D"/>
    <w:rsid w:val="00EA602B"/>
    <w:rsid w:val="00EC7C83"/>
    <w:rsid w:val="00EE07C3"/>
    <w:rsid w:val="00EF12AD"/>
    <w:rsid w:val="00EF75C1"/>
    <w:rsid w:val="00F1000C"/>
    <w:rsid w:val="00F10EEF"/>
    <w:rsid w:val="00F1255B"/>
    <w:rsid w:val="00F14CDC"/>
    <w:rsid w:val="00F16BD7"/>
    <w:rsid w:val="00F20421"/>
    <w:rsid w:val="00F22353"/>
    <w:rsid w:val="00F25FB6"/>
    <w:rsid w:val="00F2644F"/>
    <w:rsid w:val="00F31224"/>
    <w:rsid w:val="00F37EF6"/>
    <w:rsid w:val="00F473D0"/>
    <w:rsid w:val="00F50ECC"/>
    <w:rsid w:val="00F51E3C"/>
    <w:rsid w:val="00F80497"/>
    <w:rsid w:val="00F83AE1"/>
    <w:rsid w:val="00F86FB5"/>
    <w:rsid w:val="00FA0F67"/>
    <w:rsid w:val="00FA5C52"/>
    <w:rsid w:val="00FB1204"/>
    <w:rsid w:val="00FB2B31"/>
    <w:rsid w:val="00FC4914"/>
    <w:rsid w:val="00FD0C10"/>
    <w:rsid w:val="00FD6799"/>
    <w:rsid w:val="00FD7504"/>
    <w:rsid w:val="00FE2A6B"/>
    <w:rsid w:val="00FF38F7"/>
    <w:rsid w:val="00FF3A9D"/>
    <w:rsid w:val="03875F61"/>
    <w:rsid w:val="212D669B"/>
    <w:rsid w:val="29041D0D"/>
    <w:rsid w:val="3FB7BFBB"/>
    <w:rsid w:val="45D65580"/>
    <w:rsid w:val="4775A988"/>
    <w:rsid w:val="496C3AC9"/>
    <w:rsid w:val="4DC318DF"/>
    <w:rsid w:val="4F247D92"/>
    <w:rsid w:val="536D6310"/>
    <w:rsid w:val="67CE2CDC"/>
    <w:rsid w:val="724E6DAD"/>
    <w:rsid w:val="757B22DF"/>
    <w:rsid w:val="79444AF7"/>
    <w:rsid w:val="79D02741"/>
    <w:rsid w:val="7D7F3B3D"/>
    <w:rsid w:val="7FB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CC21443-221B-47D1-9AE9-A1A7C573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locked="1" w:semiHidden="1" w:unhideWhenUsed="1" w:qFormat="1"/>
    <w:lsdException w:name="footnote reference" w:qFormat="1"/>
    <w:lsdException w:name="annotation reference" w:qFormat="1"/>
    <w:lsdException w:name="page number" w:qFormat="1"/>
    <w:lsdException w:name="Title" w:locked="1" w:qFormat="1"/>
    <w:lsdException w:name="Default Paragraph Font" w:semiHidden="1"/>
    <w:lsdException w:name="Body Text" w:qFormat="1"/>
    <w:lsdException w:name="Body Text Indent" w:qFormat="1"/>
    <w:lsdException w:name="Subtitle" w:locked="1" w:qFormat="1"/>
    <w:lsdException w:name="Date" w:qFormat="1"/>
    <w:lsdException w:name="Body Text Indent 2" w:qFormat="1"/>
    <w:lsdException w:name="Body Text Indent 3" w:qFormat="1"/>
    <w:lsdException w:name="Hyperlink" w:qFormat="1"/>
    <w:lsdException w:name="Strong" w:locked="1" w:qFormat="1"/>
    <w:lsdException w:name="Emphasis" w:locked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0"/>
    <w:link w:val="2Char"/>
    <w:qFormat/>
    <w:locked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0"/>
    <w:qFormat/>
    <w:pPr>
      <w:ind w:firstLine="420"/>
    </w:pPr>
    <w:rPr>
      <w:rFonts w:ascii="Times New Roman" w:hAnsi="Times New Roman"/>
      <w:szCs w:val="20"/>
    </w:rPr>
  </w:style>
  <w:style w:type="paragraph" w:styleId="a5">
    <w:name w:val="annotation text"/>
    <w:basedOn w:val="a0"/>
    <w:link w:val="Char"/>
    <w:qFormat/>
    <w:pPr>
      <w:jc w:val="left"/>
    </w:pPr>
    <w:rPr>
      <w:rFonts w:ascii="Times New Roman" w:hAnsi="Times New Roman"/>
      <w:szCs w:val="24"/>
    </w:rPr>
  </w:style>
  <w:style w:type="paragraph" w:styleId="a6">
    <w:name w:val="Body Text"/>
    <w:basedOn w:val="a0"/>
    <w:link w:val="Char0"/>
    <w:qFormat/>
    <w:pPr>
      <w:spacing w:after="120"/>
    </w:pPr>
    <w:rPr>
      <w:szCs w:val="24"/>
    </w:rPr>
  </w:style>
  <w:style w:type="paragraph" w:styleId="a7">
    <w:name w:val="Body Text Indent"/>
    <w:basedOn w:val="a0"/>
    <w:link w:val="Char1"/>
    <w:qFormat/>
    <w:pPr>
      <w:ind w:firstLineChars="200" w:firstLine="640"/>
    </w:pPr>
    <w:rPr>
      <w:rFonts w:ascii="仿宋_GB2312" w:eastAsia="仿宋_GB2312" w:hAnsi="Times New Roman"/>
      <w:sz w:val="32"/>
      <w:szCs w:val="24"/>
    </w:rPr>
  </w:style>
  <w:style w:type="paragraph" w:styleId="a8">
    <w:name w:val="Plain Text"/>
    <w:basedOn w:val="a0"/>
    <w:link w:val="Char2"/>
    <w:qFormat/>
    <w:rPr>
      <w:rFonts w:ascii="宋体" w:hAnsi="Courier New"/>
      <w:szCs w:val="20"/>
    </w:rPr>
  </w:style>
  <w:style w:type="paragraph" w:styleId="a9">
    <w:name w:val="Date"/>
    <w:basedOn w:val="a0"/>
    <w:next w:val="a0"/>
    <w:link w:val="Char3"/>
    <w:qFormat/>
    <w:pPr>
      <w:ind w:leftChars="2500" w:left="100"/>
    </w:pPr>
  </w:style>
  <w:style w:type="paragraph" w:styleId="20">
    <w:name w:val="Body Text Indent 2"/>
    <w:basedOn w:val="a0"/>
    <w:link w:val="2Char0"/>
    <w:qFormat/>
    <w:pPr>
      <w:ind w:firstLine="690"/>
    </w:pPr>
    <w:rPr>
      <w:rFonts w:eastAsia="仿宋_GB2312"/>
      <w:sz w:val="28"/>
      <w:szCs w:val="20"/>
    </w:rPr>
  </w:style>
  <w:style w:type="paragraph" w:styleId="aa">
    <w:name w:val="footer"/>
    <w:basedOn w:val="a0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0"/>
    <w:link w:val="Char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footnote text"/>
    <w:basedOn w:val="a0"/>
    <w:link w:val="Char6"/>
    <w:qFormat/>
    <w:pPr>
      <w:snapToGrid w:val="0"/>
      <w:jc w:val="left"/>
    </w:pPr>
    <w:rPr>
      <w:sz w:val="18"/>
      <w:szCs w:val="18"/>
    </w:rPr>
  </w:style>
  <w:style w:type="paragraph" w:styleId="3">
    <w:name w:val="Body Text Indent 3"/>
    <w:basedOn w:val="a0"/>
    <w:link w:val="3Char"/>
    <w:qFormat/>
    <w:pPr>
      <w:spacing w:line="540" w:lineRule="exact"/>
      <w:ind w:firstLine="630"/>
    </w:pPr>
    <w:rPr>
      <w:rFonts w:eastAsia="仿宋_GB2312"/>
      <w:sz w:val="32"/>
      <w:szCs w:val="20"/>
      <w:u w:val="single" w:color="FF0000"/>
    </w:rPr>
  </w:style>
  <w:style w:type="paragraph" w:styleId="ad">
    <w:name w:val="Normal (Web)"/>
    <w:basedOn w:val="a0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0"/>
    <w:next w:val="a0"/>
    <w:link w:val="Char7"/>
    <w:qFormat/>
    <w:locked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f">
    <w:name w:val="Table Grid"/>
    <w:basedOn w:val="a2"/>
    <w:uiPriority w:val="59"/>
    <w:qFormat/>
    <w:locked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qFormat/>
    <w:locked/>
    <w:rPr>
      <w:b/>
      <w:bCs/>
    </w:rPr>
  </w:style>
  <w:style w:type="character" w:styleId="af1">
    <w:name w:val="page number"/>
    <w:qFormat/>
  </w:style>
  <w:style w:type="character" w:styleId="af2">
    <w:name w:val="Hyperlink"/>
    <w:qFormat/>
    <w:rPr>
      <w:color w:val="0000FF"/>
      <w:u w:val="single"/>
    </w:rPr>
  </w:style>
  <w:style w:type="character" w:styleId="af3">
    <w:name w:val="annotation reference"/>
    <w:qFormat/>
    <w:rPr>
      <w:sz w:val="21"/>
      <w:szCs w:val="21"/>
    </w:rPr>
  </w:style>
  <w:style w:type="character" w:styleId="af4">
    <w:name w:val="footnote reference"/>
    <w:qFormat/>
    <w:rPr>
      <w:vertAlign w:val="superscript"/>
    </w:rPr>
  </w:style>
  <w:style w:type="character" w:customStyle="1" w:styleId="2Char">
    <w:name w:val="标题 2 Char"/>
    <w:link w:val="2"/>
    <w:qFormat/>
    <w:locked/>
    <w:rPr>
      <w:rFonts w:ascii="宋体" w:eastAsia="宋体" w:hAnsi="宋体" w:cs="宋体"/>
      <w:sz w:val="18"/>
      <w:szCs w:val="18"/>
      <w:lang w:val="en-US" w:eastAsia="zh-CN" w:bidi="ar-SA"/>
    </w:rPr>
  </w:style>
  <w:style w:type="character" w:customStyle="1" w:styleId="Char">
    <w:name w:val="批注文字 Char"/>
    <w:link w:val="a5"/>
    <w:qFormat/>
    <w:rPr>
      <w:rFonts w:ascii="Times New Roman" w:hAnsi="Times New Roman"/>
      <w:kern w:val="2"/>
      <w:sz w:val="21"/>
      <w:szCs w:val="24"/>
    </w:rPr>
  </w:style>
  <w:style w:type="character" w:customStyle="1" w:styleId="Char0">
    <w:name w:val="正文文本 Char"/>
    <w:link w:val="a6"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Char1">
    <w:name w:val="正文文本缩进 Char"/>
    <w:link w:val="a7"/>
    <w:semiHidden/>
    <w:qFormat/>
    <w:locked/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customStyle="1" w:styleId="Char2">
    <w:name w:val="纯文本 Char"/>
    <w:link w:val="a8"/>
    <w:qFormat/>
    <w:rPr>
      <w:rFonts w:ascii="宋体" w:hAnsi="Courier New"/>
      <w:kern w:val="2"/>
      <w:sz w:val="21"/>
    </w:rPr>
  </w:style>
  <w:style w:type="character" w:customStyle="1" w:styleId="Char3">
    <w:name w:val="日期 Char"/>
    <w:link w:val="a9"/>
    <w:qFormat/>
    <w:rPr>
      <w:kern w:val="2"/>
      <w:sz w:val="21"/>
      <w:szCs w:val="22"/>
    </w:rPr>
  </w:style>
  <w:style w:type="character" w:customStyle="1" w:styleId="2Char0">
    <w:name w:val="正文文本缩进 2 Char"/>
    <w:link w:val="20"/>
    <w:qFormat/>
    <w:rPr>
      <w:rFonts w:eastAsia="仿宋_GB2312"/>
      <w:kern w:val="2"/>
      <w:sz w:val="28"/>
    </w:rPr>
  </w:style>
  <w:style w:type="character" w:customStyle="1" w:styleId="Char4">
    <w:name w:val="页脚 Char"/>
    <w:link w:val="aa"/>
    <w:uiPriority w:val="99"/>
    <w:qFormat/>
    <w:locked/>
    <w:rPr>
      <w:rFonts w:cs="Times New Roman"/>
      <w:sz w:val="18"/>
      <w:szCs w:val="18"/>
    </w:rPr>
  </w:style>
  <w:style w:type="character" w:customStyle="1" w:styleId="Char5">
    <w:name w:val="页眉 Char"/>
    <w:link w:val="ab"/>
    <w:qFormat/>
    <w:locked/>
    <w:rPr>
      <w:rFonts w:cs="Times New Roman"/>
      <w:sz w:val="18"/>
      <w:szCs w:val="18"/>
    </w:rPr>
  </w:style>
  <w:style w:type="character" w:customStyle="1" w:styleId="Char6">
    <w:name w:val="脚注文本 Char"/>
    <w:link w:val="ac"/>
    <w:qFormat/>
    <w:rPr>
      <w:kern w:val="2"/>
      <w:sz w:val="18"/>
      <w:szCs w:val="18"/>
    </w:rPr>
  </w:style>
  <w:style w:type="character" w:customStyle="1" w:styleId="3Char">
    <w:name w:val="正文文本缩进 3 Char"/>
    <w:link w:val="3"/>
    <w:qFormat/>
    <w:rPr>
      <w:rFonts w:eastAsia="仿宋_GB2312"/>
      <w:kern w:val="2"/>
      <w:sz w:val="32"/>
      <w:u w:val="single" w:color="FF0000"/>
    </w:rPr>
  </w:style>
  <w:style w:type="character" w:customStyle="1" w:styleId="Char7">
    <w:name w:val="标题 Char"/>
    <w:link w:val="ae"/>
    <w:qFormat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CharCharCharChar">
    <w:name w:val="Char Char Char Char"/>
    <w:basedOn w:val="a0"/>
    <w:qFormat/>
    <w:rPr>
      <w:rFonts w:ascii="Tahoma" w:hAnsi="Tahoma"/>
      <w:sz w:val="24"/>
      <w:szCs w:val="20"/>
    </w:rPr>
  </w:style>
  <w:style w:type="paragraph" w:customStyle="1" w:styleId="ListParagraph1">
    <w:name w:val="List Paragraph1"/>
    <w:basedOn w:val="a0"/>
    <w:qFormat/>
    <w:pPr>
      <w:ind w:firstLineChars="200" w:firstLine="420"/>
    </w:pPr>
  </w:style>
  <w:style w:type="paragraph" w:customStyle="1" w:styleId="1">
    <w:name w:val="列出段落1"/>
    <w:basedOn w:val="a0"/>
    <w:uiPriority w:val="99"/>
    <w:qFormat/>
    <w:pPr>
      <w:ind w:firstLineChars="200" w:firstLine="420"/>
    </w:pPr>
    <w:rPr>
      <w:rFonts w:cs="Calibri"/>
      <w:szCs w:val="21"/>
    </w:rPr>
  </w:style>
  <w:style w:type="paragraph" w:customStyle="1" w:styleId="p0">
    <w:name w:val="p0"/>
    <w:basedOn w:val="a0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">
    <w:name w:val="五级条标题"/>
    <w:basedOn w:val="a0"/>
    <w:next w:val="a0"/>
    <w:qFormat/>
    <w:pPr>
      <w:widowControl/>
      <w:numPr>
        <w:ilvl w:val="6"/>
        <w:numId w:val="1"/>
      </w:numPr>
      <w:ind w:rightChars="4" w:right="4"/>
      <w:jc w:val="left"/>
      <w:outlineLvl w:val="6"/>
    </w:pPr>
    <w:rPr>
      <w:rFonts w:ascii="Times New Roman" w:eastAsia="仿宋_GB2312" w:hAnsi="Times New Roman"/>
      <w:sz w:val="28"/>
      <w:szCs w:val="20"/>
    </w:rPr>
  </w:style>
  <w:style w:type="paragraph" w:customStyle="1" w:styleId="NoSpacing1">
    <w:name w:val="No Spacing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character" w:customStyle="1" w:styleId="CharChar2">
    <w:name w:val="Char Char2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">
    <w:name w:val="Char Char"/>
    <w:semiHidden/>
    <w:qFormat/>
    <w:locked/>
    <w:rPr>
      <w:rFonts w:cs="Times New Roman"/>
      <w:sz w:val="18"/>
      <w:szCs w:val="18"/>
    </w:rPr>
  </w:style>
  <w:style w:type="character" w:customStyle="1" w:styleId="font21">
    <w:name w:val="font21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paragraph" w:styleId="af5">
    <w:name w:val="No Spacing"/>
    <w:uiPriority w:val="1"/>
    <w:qFormat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character" w:customStyle="1" w:styleId="21">
    <w:name w:val="标题 2 字符"/>
    <w:qFormat/>
    <w:rPr>
      <w:rFonts w:ascii="宋体" w:eastAsia="宋体" w:hAnsi="宋体" w:cs="宋体"/>
      <w:kern w:val="0"/>
      <w:sz w:val="18"/>
      <w:szCs w:val="18"/>
    </w:rPr>
  </w:style>
  <w:style w:type="paragraph" w:styleId="af6">
    <w:name w:val="List Paragraph"/>
    <w:basedOn w:val="a0"/>
    <w:uiPriority w:val="34"/>
    <w:qFormat/>
    <w:pPr>
      <w:ind w:firstLineChars="200" w:firstLine="420"/>
    </w:pPr>
    <w:rPr>
      <w:rFonts w:ascii="等线" w:eastAsia="等线" w:hAnsi="等线" w:cs="等线"/>
      <w:szCs w:val="21"/>
    </w:rPr>
  </w:style>
  <w:style w:type="character" w:customStyle="1" w:styleId="af7">
    <w:name w:val="页脚 字符"/>
    <w:uiPriority w:val="99"/>
    <w:qFormat/>
    <w:rPr>
      <w:kern w:val="2"/>
      <w:sz w:val="18"/>
      <w:szCs w:val="18"/>
    </w:rPr>
  </w:style>
  <w:style w:type="character" w:customStyle="1" w:styleId="af8">
    <w:name w:val="批注文字 字符"/>
    <w:qFormat/>
    <w:rPr>
      <w:kern w:val="2"/>
      <w:sz w:val="21"/>
      <w:szCs w:val="24"/>
    </w:rPr>
  </w:style>
  <w:style w:type="character" w:customStyle="1" w:styleId="af9">
    <w:name w:val="页眉 字符"/>
    <w:qFormat/>
    <w:rPr>
      <w:sz w:val="18"/>
      <w:szCs w:val="18"/>
    </w:rPr>
  </w:style>
  <w:style w:type="paragraph" w:customStyle="1" w:styleId="afa">
    <w:name w:val="表格"/>
    <w:basedOn w:val="a0"/>
    <w:qFormat/>
    <w:rPr>
      <w:rFonts w:ascii="宋体" w:hAnsi="宋体" w:cs="宋体"/>
      <w:sz w:val="24"/>
      <w:szCs w:val="28"/>
      <w:lang w:val="zh-CN"/>
    </w:rPr>
  </w:style>
  <w:style w:type="paragraph" w:customStyle="1" w:styleId="afb">
    <w:name w:val="章标题"/>
    <w:basedOn w:val="a0"/>
    <w:next w:val="a0"/>
    <w:qFormat/>
    <w:pPr>
      <w:widowControl/>
      <w:spacing w:before="158" w:after="153" w:line="323" w:lineRule="atLeast"/>
      <w:ind w:right="-120"/>
      <w:jc w:val="center"/>
      <w:textAlignment w:val="baseline"/>
    </w:pPr>
    <w:rPr>
      <w:rFonts w:ascii="Times New Roman" w:hAnsi="Times New Roman"/>
      <w:color w:val="FF0000"/>
      <w:sz w:val="18"/>
      <w:szCs w:val="24"/>
    </w:rPr>
  </w:style>
  <w:style w:type="character" w:customStyle="1" w:styleId="210">
    <w:name w:val="正文文本缩进 2 字符1"/>
    <w:qFormat/>
    <w:rPr>
      <w:kern w:val="2"/>
      <w:sz w:val="21"/>
      <w:szCs w:val="22"/>
    </w:rPr>
  </w:style>
  <w:style w:type="character" w:customStyle="1" w:styleId="31">
    <w:name w:val="正文文本缩进 3 字符1"/>
    <w:qFormat/>
    <w:rPr>
      <w:kern w:val="2"/>
      <w:sz w:val="16"/>
      <w:szCs w:val="16"/>
    </w:rPr>
  </w:style>
  <w:style w:type="paragraph" w:customStyle="1" w:styleId="22">
    <w:name w:val="列出段落2"/>
    <w:basedOn w:val="a0"/>
    <w:uiPriority w:val="34"/>
    <w:qFormat/>
    <w:pPr>
      <w:ind w:firstLineChars="200" w:firstLine="420"/>
    </w:pPr>
  </w:style>
  <w:style w:type="character" w:customStyle="1" w:styleId="10">
    <w:name w:val="脚注文本 字符1"/>
    <w:qFormat/>
    <w:rPr>
      <w:kern w:val="2"/>
      <w:sz w:val="18"/>
      <w:szCs w:val="18"/>
    </w:rPr>
  </w:style>
  <w:style w:type="character" w:customStyle="1" w:styleId="font71">
    <w:name w:val="font71"/>
    <w:basedOn w:val="a1"/>
    <w:qFormat/>
    <w:rPr>
      <w:rFonts w:ascii="宋体" w:eastAsia="宋体" w:hAnsi="宋体" w:cs="宋体" w:hint="eastAsia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8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751</Words>
  <Characters>4286</Characters>
  <Application>Microsoft Office Word</Application>
  <DocSecurity>0</DocSecurity>
  <Lines>35</Lines>
  <Paragraphs>10</Paragraphs>
  <ScaleCrop>false</ScaleCrop>
  <Company>Www.SangSan.Cn</Company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德阳市住房公积金管理中心</dc:title>
  <dc:creator>桑三博客</dc:creator>
  <cp:lastModifiedBy>Administrator</cp:lastModifiedBy>
  <cp:revision>4</cp:revision>
  <cp:lastPrinted>2024-11-27T01:07:00Z</cp:lastPrinted>
  <dcterms:created xsi:type="dcterms:W3CDTF">2024-12-23T07:55:00Z</dcterms:created>
  <dcterms:modified xsi:type="dcterms:W3CDTF">2024-12-23T09:11:00Z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FD6C8AF85EFA4E24B95EBE7134AB3CD1_13</vt:lpwstr>
  </property>
</Properties>
</file>